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June</w:t>
      </w:r>
      <w:r>
        <w:t xml:space="preserve"> </w:t>
      </w:r>
      <w:r>
        <w:t xml:space="preserve">9,</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rPr>
          <w:vertAlign w:val="superscript"/>
        </w:rPr>
        <w:t xml:space="preserve">1</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rPr>
          <w:vertAlign w:val="superscript"/>
        </w:rP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rPr>
          <w:vertAlign w:val="superscript"/>
        </w:rPr>
        <w:t xml:space="preserve">8,9</w:t>
      </w:r>
      <w:r>
        <w:t xml:space="preserve">, some of which are decorated with geometric signs</w:t>
      </w:r>
      <w:r>
        <w:rPr>
          <w:vertAlign w:val="superscript"/>
        </w:rPr>
        <w:t xml:space="preserve">10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 xml:space="preserve">3</w:t>
      </w:r>
      <w:r>
        <w:t xml:space="preserve">. Seriation analysis, PCoA, and network analysis were used to identify groups from 134 discrete bead types recovered from both burial and occupation sites. To validate their claims of cultural groups,</w:t>
      </w:r>
      <w:r>
        <w:rPr>
          <w:vertAlign w:val="superscript"/>
        </w:rPr>
        <w:t xml:space="preserve">3</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rPr>
          <w:vertAlign w:val="superscript"/>
        </w:rPr>
        <w:t xml:space="preserve">6</w:t>
      </w:r>
      <w:r>
        <w:t xml:space="preserve">. Drawing on ethnographic studies that show how body decoration and ornamentation indicate ethno-linguistic identity,</w:t>
      </w:r>
      <w:r>
        <w:rPr>
          <w:vertAlign w:val="superscript"/>
        </w:rP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rPr>
          <w:vertAlign w:val="superscript"/>
        </w:rPr>
        <w:t xml:space="preserve">4</w:t>
      </w:r>
      <w:r>
        <w:t xml:space="preserve">. Multivariate analysis of 45 morphological characteristics of the signs revealed two clusters. To interpret these clusters,</w:t>
      </w:r>
      <w:r>
        <w:rPr>
          <w:vertAlign w:val="superscript"/>
        </w:rP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rPr>
          <w:vertAlign w:val="superscript"/>
        </w:rPr>
        <w:t xml:space="preserve">11</w:t>
      </w:r>
      <w:r>
        <w:t xml:space="preserve">.</w:t>
      </w:r>
      <w:r>
        <w:rPr>
          <w:vertAlign w:val="superscript"/>
        </w:rPr>
        <w:t xml:space="preserve">12</w:t>
      </w:r>
      <w:r>
        <w:t xml:space="preserve"> </w:t>
      </w:r>
      <w:r>
        <w:t xml:space="preserve">divided the Aurignacian into two main phases, Aur-P1 (Proto/Early, 43–37 k BP), and Aur-P2 (Evolved/Late, 37-32 k BP).</w:t>
      </w:r>
      <w:r>
        <w:rPr>
          <w:vertAlign w:val="superscript"/>
        </w:rP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rPr>
          <w:vertAlign w:val="superscript"/>
        </w:rPr>
        <w:t xml:space="preserve">13</w:t>
      </w:r>
      <w:r>
        <w:t xml:space="preserve">, we divide the Aurignacian into four phases based on material culture changes; Proto, Early, Evolved, and Late Aurignacian</w:t>
      </w:r>
      <w:r>
        <w:rPr>
          <w:vertAlign w:val="superscript"/>
        </w:rP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 w:name="tbl-aur-table"/>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rPr>
                <w:vertAlign w:val="superscript"/>
              </w:rPr>
              <w:t xml:space="preserve">11–13,15</w:t>
            </w:r>
          </w:p>
          <w:bookmarkEnd w:id="21"/>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 xml:space="preserve">10</w:t>
      </w:r>
      <w:r>
        <w:t xml:space="preserve">. The data set consists of 531 objects found at 65 sites in 13 countries, and records 55 geometric sign types. We excluded signs classified by</w:t>
      </w:r>
      <w:r>
        <w:rPr>
          <w:vertAlign w:val="superscript"/>
        </w:rP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rPr>
          <w:vertAlign w:val="superscript"/>
        </w:rPr>
        <w:t xml:space="preserve">16</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rPr>
          <w:vertAlign w:val="superscript"/>
        </w:rPr>
        <w:t xml:space="preserve">17</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18</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rPr>
          <w:vertAlign w:val="superscript"/>
        </w:rPr>
        <w:t xml:space="preserve">19</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rPr>
          <w:vertAlign w:val="superscript"/>
        </w:rPr>
        <w:t xml:space="preserve">20,21</w:t>
      </w:r>
      <w:r>
        <w:t xml:space="preserve">. This relationship can be investigated using the isolation-by-distance framework, which proposes that cultural difference can be primarily explained by geographic distance</w:t>
      </w:r>
      <w:r>
        <w:rPr>
          <w:vertAlign w:val="superscript"/>
        </w:rP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7"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7"/>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rPr>
          <w:vertAlign w:val="superscript"/>
        </w:rPr>
        <w:t xml:space="preserve">22</w:t>
      </w:r>
      <w:r>
        <w:t xml:space="preserve">. We used the Brower-Kile</w:t>
      </w:r>
      <w:r>
        <w:rPr>
          <w:vertAlign w:val="superscript"/>
        </w:rPr>
        <w:t xml:space="preserve">23</w:t>
      </w:r>
      <w:r>
        <w:t xml:space="preserve"> </w:t>
      </w:r>
      <w:r>
        <w:t xml:space="preserve">seriation algorithm from the seriation package</w:t>
      </w:r>
      <w:r>
        <w:rPr>
          <w:vertAlign w:val="superscript"/>
        </w:rPr>
        <w:t xml:space="preserve">24</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 xml:space="preserve">25</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rPr>
          <w:vertAlign w:val="superscript"/>
        </w:rPr>
        <w:t xml:space="preserve">26</w:t>
      </w:r>
      <w:r>
        <w:t xml:space="preserve">, a force-directed graph layout for uniform edge lengths, and network analysis was performed using the vegan</w:t>
      </w:r>
      <w:r>
        <w:rPr>
          <w:vertAlign w:val="superscript"/>
        </w:rPr>
        <w:t xml:space="preserve">18</w:t>
      </w:r>
      <w:r>
        <w:t xml:space="preserve">, statnet</w:t>
      </w:r>
      <w:r>
        <w:rPr>
          <w:vertAlign w:val="superscript"/>
        </w:rPr>
        <w:t xml:space="preserve">27</w:t>
      </w:r>
      <w:r>
        <w:t xml:space="preserve"> </w:t>
      </w:r>
      <w:r>
        <w:t xml:space="preserve">and igraph</w:t>
      </w:r>
      <w:r>
        <w:rPr>
          <w:vertAlign w:val="superscript"/>
        </w:rPr>
        <w:t xml:space="preserve">28</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rPr>
          <w:vertAlign w:val="superscript"/>
        </w:rPr>
        <w:t xml:space="preserve">29,30</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 xml:space="preserve">18</w:t>
      </w:r>
      <w:r>
        <w:t xml:space="preserve"> </w:t>
      </w:r>
      <w:r>
        <w:t xml:space="preserve">and igraph</w:t>
      </w:r>
      <w:r>
        <w:rPr>
          <w:vertAlign w:val="superscript"/>
        </w:rPr>
        <w:t xml:space="preserve">28</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ook w:firstRow="0" w:lastRow="0" w:firstColumn="0" w:lastColumn="0" w:noHBand="0" w:noVBand="0" w:val="0000"/>
        <w:jc w:val="start"/>
        <w:tblLayout w:type="fixed"/>
      </w:tblPr>
      <w:tblGrid>
        <w:gridCol w:w="7920"/>
      </w:tblGrid>
      <w:tr>
        <w:tc>
          <w:tcPr/>
          <w:bookmarkStart w:id="45"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5"/>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 xml:space="preserve">31–38</w:t>
      </w:r>
      <w:r>
        <w:t xml:space="preserve">. Studies have established how variation in ornamentation and other forms of material culture can be used to communicate information about the numbers and types of social roles and statuses within groups</w:t>
      </w:r>
      <w:r>
        <w:rPr>
          <w:vertAlign w:val="superscript"/>
        </w:rPr>
        <w:t xml:space="preserve">4,38–49</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rPr>
          <w:vertAlign w:val="superscript"/>
        </w:rPr>
        <w:t xml:space="preserve">36,37,50–52</w:t>
      </w:r>
      <w:r>
        <w:t xml:space="preserve">. Non-utilitarian mobility establishes regional social networks which facilitate the spread of information and the survival of hunter-gatherers in uncertain environments</w:t>
      </w:r>
      <w:r>
        <w:rPr>
          <w:vertAlign w:val="superscript"/>
        </w:rPr>
        <w:t xml:space="preserve">53–57</w:t>
      </w:r>
      <w:r>
        <w:t xml:space="preserve">. The exchange and production of decorative items, such as objects with geometric signs, has been associated with non-utilitarian mobility and recognized as an indicator of social contact</w:t>
      </w:r>
      <w:r>
        <w:rPr>
          <w:vertAlign w:val="superscript"/>
        </w:rPr>
        <w:t xml:space="preserve">53,58–61</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rPr>
          <w:vertAlign w:val="superscript"/>
        </w:rPr>
        <w:t xml:space="preserve">62</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 xml:space="preserve">62</w:t>
      </w:r>
      <w:r>
        <w:t xml:space="preserve">, including, in some cases, decorative objects</w:t>
      </w:r>
      <w:r>
        <w:rPr>
          <w:vertAlign w:val="superscript"/>
        </w:rPr>
        <w:t xml:space="preserve">58</w:t>
      </w:r>
      <w:r>
        <w:t xml:space="preserve">. Previous studies have also identified evidence of aggregation/dispersion patterns among the early modern humans of the Upper Paleolithic</w:t>
      </w:r>
      <w:r>
        <w:rPr>
          <w:vertAlign w:val="superscript"/>
        </w:rPr>
        <w:t xml:space="preserve">2,63,64,64–69</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rPr>
          <w:vertAlign w:val="superscript"/>
        </w:rPr>
        <w:t xml:space="preserve">70</w:t>
      </w:r>
      <w:r>
        <w:t xml:space="preserve"> </w:t>
      </w:r>
      <w:r>
        <w:t xml:space="preserve">for a given sample size against the actual diversity index per site</w:t>
      </w:r>
      <w:r>
        <w:rPr>
          <w:vertAlign w:val="superscript"/>
        </w:rPr>
        <w:t xml:space="preserve">71</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 xml:space="preserve">72</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 xml:space="preserve">73–81</w:t>
      </w:r>
      <w:r>
        <w:t xml:space="preserve">.</w:t>
      </w:r>
    </w:p>
    <w:p>
      <w:pPr>
        <w:pStyle w:val="BodyText"/>
      </w:pPr>
      <w:r>
        <w:t xml:space="preserve">Our results are consistent with</w:t>
      </w:r>
      <w:r>
        <w:rPr>
          <w:vertAlign w:val="superscript"/>
        </w:rPr>
        <w:t xml:space="preserve">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 xml:space="preserve">72</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rPr>
          <w:vertAlign w:val="superscript"/>
        </w:rPr>
        <w:t xml:space="preserve">3,64,82–85</w:t>
      </w:r>
      <w:r>
        <w:t xml:space="preserve"> </w:t>
      </w:r>
      <w:r>
        <w:t xml:space="preserve">has used material culture analysis to reconstruct Upper Paleolithic social networks, which have been argued to be a driver of cultural and evolutionary change</w:t>
      </w:r>
      <w:r>
        <w:rPr>
          <w:vertAlign w:val="superscript"/>
        </w:rPr>
        <w:t xml:space="preserve">2,57,86–90</w:t>
      </w:r>
      <w:r>
        <w:t xml:space="preserve">.</w:t>
      </w:r>
      <w:r>
        <w:rPr>
          <w:vertAlign w:val="superscript"/>
        </w:rPr>
        <w:t xml:space="preserve">91</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rPr>
          <w:vertAlign w:val="superscript"/>
        </w:rPr>
        <w:t xml:space="preserve">92</w:t>
      </w:r>
      <w:r>
        <w:t xml:space="preserve"> </w:t>
      </w:r>
      <w:r>
        <w:t xml:space="preserve">by dividing the data up into smaller time periods. Additionally, by focusing on change over time, we are able to see social networks as fluid and dynamic, rather than static and bounded</w:t>
      </w:r>
      <w:r>
        <w:rPr>
          <w:vertAlign w:val="superscript"/>
        </w:rPr>
        <w:t xml:space="preserve">63</w:t>
      </w:r>
      <w:r>
        <w:t xml:space="preserve">.</w:t>
      </w:r>
    </w:p>
    <w:p>
      <w:pPr>
        <w:pStyle w:val="BodyText"/>
      </w:pPr>
      <w:r>
        <w:t xml:space="preserve">One limitation is the potential ambiguity that arises with some of the sign types. While</w:t>
      </w:r>
      <w:r>
        <w:rPr>
          <w:vertAlign w:val="superscript"/>
        </w:rPr>
        <w:t xml:space="preserve">93</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 xml:space="preserve">20</w:t>
      </w:r>
      <w:r>
        <w:t xml:space="preserve">, and additionally, greater quantities of included sign types serves to establish stronger connections</w:t>
      </w:r>
      <w:r>
        <w:rPr>
          <w:vertAlign w:val="superscript"/>
        </w:rPr>
        <w:t xml:space="preserve">92</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4" w:name="references"/>
    <w:p>
      <w:pPr>
        <w:pStyle w:val="Heading1"/>
      </w:pPr>
      <w:r>
        <w:t xml:space="preserve">References</w:t>
      </w:r>
    </w:p>
    <w:bookmarkStart w:id="223" w:name="refs"/>
    <w:bookmarkStart w:id="57" w:name="ref-Boyd_Silk_2020"/>
    <w:p>
      <w:pPr>
        <w:pStyle w:val="Bibliography"/>
      </w:pPr>
      <w:r>
        <w:t xml:space="preserve">1.</w:t>
      </w:r>
      <w:r>
        <w:t xml:space="preserve"> </w:t>
      </w:r>
      <w:r>
        <w:t xml:space="preserve">	</w:t>
      </w:r>
      <w:r>
        <w:t xml:space="preserve">Boyd, R. &amp; Silk, J. B.</w:t>
      </w:r>
      <w:r>
        <w:t xml:space="preserve"> </w:t>
      </w:r>
      <w:hyperlink r:id="rId56">
        <w:r>
          <w:rPr>
            <w:rStyle w:val="Hyperlink"/>
            <w:iCs/>
            <w:i/>
          </w:rPr>
          <w:t xml:space="preserve">How Humans Evolved</w:t>
        </w:r>
      </w:hyperlink>
      <w:r>
        <w:t xml:space="preserve">. (W.W. Norton, 2020).</w:t>
      </w:r>
    </w:p>
    <w:bookmarkEnd w:id="57"/>
    <w:bookmarkStart w:id="59" w:name="ref-dErrico_Baker_Rigaud_2025"/>
    <w:p>
      <w:pPr>
        <w:pStyle w:val="Bibliography"/>
      </w:pPr>
      <w:r>
        <w:t xml:space="preserve">2.</w:t>
      </w:r>
      <w:r>
        <w:t xml:space="preserve"> </w:t>
      </w:r>
      <w:r>
        <w:t xml:space="preserve">	</w:t>
      </w:r>
      <w:r>
        <w:t xml:space="preserve">d’Errico, F.</w:t>
      </w:r>
      <w:r>
        <w:t xml:space="preserve"> </w:t>
      </w:r>
      <w:r>
        <w:rPr>
          <w:iCs/>
          <w:i/>
        </w:rPr>
        <w:t xml:space="preserve">et al.</w:t>
      </w:r>
      <w:r>
        <w:t xml:space="preserve"> </w:t>
      </w:r>
      <w:hyperlink r:id="rId58">
        <w:r>
          <w:rPr>
            <w:rStyle w:val="Hyperlink"/>
          </w:rPr>
          <w:t xml:space="preserve">Multivariate analyses of aurignacian and gravettian personal ornaments support cultural continuity in the early upper palaeolithic</w:t>
        </w:r>
      </w:hyperlink>
      <w:r>
        <w:t xml:space="preserve">.</w:t>
      </w:r>
      <w:r>
        <w:t xml:space="preserve"> </w:t>
      </w:r>
      <w:r>
        <w:rPr>
          <w:iCs/>
          <w:i/>
        </w:rPr>
        <w:t xml:space="preserve">PLOS ONE</w:t>
      </w:r>
      <w:r>
        <w:t xml:space="preserve"> </w:t>
      </w:r>
      <w:r>
        <w:rPr>
          <w:bCs/>
          <w:b/>
        </w:rPr>
        <w:t xml:space="preserve">20</w:t>
      </w:r>
      <w:r>
        <w:t xml:space="preserve">, 1–24 (2025).</w:t>
      </w:r>
    </w:p>
    <w:bookmarkEnd w:id="59"/>
    <w:bookmarkStart w:id="60" w:name="ref-baker2024evidence"/>
    <w:p>
      <w:pPr>
        <w:pStyle w:val="Bibliography"/>
      </w:pPr>
      <w:r>
        <w:t xml:space="preserve">3.</w:t>
      </w:r>
      <w:r>
        <w:t xml:space="preserve"> </w:t>
      </w:r>
      <w:r>
        <w:t xml:space="preserve">	</w:t>
      </w:r>
      <w:r>
        <w:t xml:space="preserve">Baker, J., Rigaud, S., Pereira, D., Courtenay, L. A. &amp; d’Errico, F. Evidence from personal ornaments suggest nine distinct cultural groups between 34,000 and 24,000 years ago in europe.</w:t>
      </w:r>
      <w:r>
        <w:t xml:space="preserve"> </w:t>
      </w:r>
      <w:r>
        <w:rPr>
          <w:iCs/>
          <w:i/>
        </w:rPr>
        <w:t xml:space="preserve">Nature Human Behaviour</w:t>
      </w:r>
      <w:r>
        <w:t xml:space="preserve"> </w:t>
      </w:r>
      <w:r>
        <w:rPr>
          <w:bCs/>
          <w:b/>
        </w:rPr>
        <w:t xml:space="preserve">8</w:t>
      </w:r>
      <w:r>
        <w:t xml:space="preserve">, 431–444 (2024).</w:t>
      </w:r>
    </w:p>
    <w:bookmarkEnd w:id="60"/>
    <w:bookmarkStart w:id="62" w:name="ref-Sauvet_2018"/>
    <w:p>
      <w:pPr>
        <w:pStyle w:val="Bibliography"/>
      </w:pPr>
      <w:r>
        <w:t xml:space="preserve">4.</w:t>
      </w:r>
      <w:r>
        <w:t xml:space="preserve"> </w:t>
      </w:r>
      <w:r>
        <w:t xml:space="preserve">	</w:t>
      </w:r>
      <w:r>
        <w:t xml:space="preserve">Sauvet, G.</w:t>
      </w:r>
      <w:r>
        <w:t xml:space="preserve"> </w:t>
      </w:r>
      <w:r>
        <w:rPr>
          <w:iCs/>
          <w:i/>
        </w:rPr>
        <w:t xml:space="preserve">et al.</w:t>
      </w:r>
      <w:r>
        <w:t xml:space="preserve"> </w:t>
      </w:r>
      <w:hyperlink r:id="rId61">
        <w:r>
          <w:rPr>
            <w:rStyle w:val="Hyperlink"/>
          </w:rPr>
          <w:t xml:space="preserve">The function of graphic signs in prehistoric societies: The case of cantabrian quadrilateral signs</w:t>
        </w:r>
      </w:hyperlink>
      <w:r>
        <w:t xml:space="preserve">.</w:t>
      </w:r>
      <w:r>
        <w:t xml:space="preserve"> </w:t>
      </w:r>
      <w:r>
        <w:rPr>
          <w:iCs/>
          <w:i/>
        </w:rPr>
        <w:t xml:space="preserve">Quaternary International</w:t>
      </w:r>
      <w:r>
        <w:t xml:space="preserve"> </w:t>
      </w:r>
      <w:r>
        <w:rPr>
          <w:bCs/>
          <w:b/>
        </w:rPr>
        <w:t xml:space="preserve">491</w:t>
      </w:r>
      <w:r>
        <w:t xml:space="preserve">, 99–109 (2018).</w:t>
      </w:r>
    </w:p>
    <w:bookmarkEnd w:id="62"/>
    <w:bookmarkStart w:id="64" w:name="ref-Kuhn_Stiner_2007"/>
    <w:p>
      <w:pPr>
        <w:pStyle w:val="Bibliography"/>
      </w:pPr>
      <w:r>
        <w:t xml:space="preserve">5.</w:t>
      </w:r>
      <w:r>
        <w:t xml:space="preserve"> </w:t>
      </w:r>
      <w:r>
        <w:t xml:space="preserve">	</w:t>
      </w:r>
      <w:r>
        <w:t xml:space="preserve">Kuhn, S. L. &amp; Stiner, M. C.</w:t>
      </w:r>
      <w:r>
        <w:t xml:space="preserve"> </w:t>
      </w:r>
      <w:hyperlink r:id="rId63">
        <w:r>
          <w:rPr>
            <w:rStyle w:val="Hyperlink"/>
          </w:rPr>
          <w:t xml:space="preserve">Paleolithic ornaments: Implications for cognition, demography and identity</w:t>
        </w:r>
      </w:hyperlink>
      <w:r>
        <w:t xml:space="preserve">.</w:t>
      </w:r>
      <w:r>
        <w:t xml:space="preserve"> </w:t>
      </w:r>
      <w:r>
        <w:rPr>
          <w:iCs/>
          <w:i/>
        </w:rPr>
        <w:t xml:space="preserve">Diogenes</w:t>
      </w:r>
      <w:r>
        <w:t xml:space="preserve"> </w:t>
      </w:r>
      <w:r>
        <w:rPr>
          <w:bCs/>
          <w:b/>
        </w:rPr>
        <w:t xml:space="preserve">54</w:t>
      </w:r>
      <w:r>
        <w:t xml:space="preserve">, 40–48 (2007).</w:t>
      </w:r>
    </w:p>
    <w:bookmarkEnd w:id="64"/>
    <w:bookmarkStart w:id="66" w:name="ref-Vanhaeren_d"/>
    <w:p>
      <w:pPr>
        <w:pStyle w:val="Bibliography"/>
      </w:pPr>
      <w:r>
        <w:t xml:space="preserve">6.</w:t>
      </w:r>
      <w:r>
        <w:t xml:space="preserve"> </w:t>
      </w:r>
      <w:r>
        <w:t xml:space="preserve">	</w:t>
      </w:r>
      <w:r>
        <w:t xml:space="preserve">Vanhaeren, M. &amp; d’Errico, F.</w:t>
      </w:r>
      <w:r>
        <w:t xml:space="preserve"> </w:t>
      </w:r>
      <w:hyperlink r:id="rId65">
        <w:r>
          <w:rPr>
            <w:rStyle w:val="Hyperlink"/>
          </w:rPr>
          <w:t xml:space="preserve">Aurignacian ethno-linguistic geography of europe revealed by personal ornaments</w:t>
        </w:r>
      </w:hyperlink>
      <w:r>
        <w:t xml:space="preserve">.</w:t>
      </w:r>
      <w:r>
        <w:t xml:space="preserve"> </w:t>
      </w:r>
      <w:r>
        <w:rPr>
          <w:iCs/>
          <w:i/>
        </w:rPr>
        <w:t xml:space="preserve">Journal of Archaeological Science</w:t>
      </w:r>
      <w:r>
        <w:t xml:space="preserve"> </w:t>
      </w:r>
      <w:r>
        <w:rPr>
          <w:bCs/>
          <w:b/>
        </w:rPr>
        <w:t xml:space="preserve">33</w:t>
      </w:r>
      <w:r>
        <w:t xml:space="preserve">, 1105–1128 (2006).</w:t>
      </w:r>
    </w:p>
    <w:bookmarkEnd w:id="66"/>
    <w:bookmarkStart w:id="68" w:name="ref-Fuentes_Lucas_Robert_2019"/>
    <w:p>
      <w:pPr>
        <w:pStyle w:val="Bibliography"/>
      </w:pPr>
      <w:r>
        <w:t xml:space="preserve">7.</w:t>
      </w:r>
      <w:r>
        <w:t xml:space="preserve"> </w:t>
      </w:r>
      <w:r>
        <w:t xml:space="preserve">	</w:t>
      </w:r>
      <w:r>
        <w:t xml:space="preserve">Fuentes, O., Lucas, C. &amp; Robert, E.</w:t>
      </w:r>
      <w:r>
        <w:t xml:space="preserve"> </w:t>
      </w:r>
      <w:hyperlink r:id="rId67">
        <w:r>
          <w:rPr>
            <w:rStyle w:val="Hyperlink"/>
          </w:rPr>
          <w:t xml:space="preserve">An approach to palaeolithic networks: The question of symbolic territories and their interpretation through magdalenian art</w:t>
        </w:r>
      </w:hyperlink>
      <w:r>
        <w:t xml:space="preserve">.</w:t>
      </w:r>
      <w:r>
        <w:t xml:space="preserve"> </w:t>
      </w:r>
      <w:r>
        <w:rPr>
          <w:iCs/>
          <w:i/>
        </w:rPr>
        <w:t xml:space="preserve">Quaternary International</w:t>
      </w:r>
      <w:r>
        <w:t xml:space="preserve"> </w:t>
      </w:r>
      <w:r>
        <w:rPr>
          <w:bCs/>
          <w:b/>
        </w:rPr>
        <w:t xml:space="preserve">503</w:t>
      </w:r>
      <w:r>
        <w:t xml:space="preserve">, 233–247 (2019).</w:t>
      </w:r>
    </w:p>
    <w:bookmarkEnd w:id="68"/>
    <w:bookmarkStart w:id="70" w:name="ref-Tejero_Grimaldi_2015"/>
    <w:p>
      <w:pPr>
        <w:pStyle w:val="Bibliography"/>
      </w:pPr>
      <w:r>
        <w:t xml:space="preserve">8.</w:t>
      </w:r>
      <w:r>
        <w:t xml:space="preserve"> </w:t>
      </w:r>
      <w:r>
        <w:t xml:space="preserve">	</w:t>
      </w:r>
      <w:r>
        <w:t xml:space="preserve">Tejero, J.-M. &amp; Grimaldi, S.</w:t>
      </w:r>
      <w:r>
        <w:t xml:space="preserve"> </w:t>
      </w:r>
      <w:hyperlink r:id="rId69">
        <w:r>
          <w:rPr>
            <w:rStyle w:val="Hyperlink"/>
          </w:rPr>
          <w:t xml:space="preserve">Assessing bone and antler exploitation at riparo mochi (balzi rossi, italy): Implications for the characterization of the aurignacian in south-western europe</w:t>
        </w:r>
      </w:hyperlink>
      <w:r>
        <w:t xml:space="preserve">.</w:t>
      </w:r>
      <w:r>
        <w:t xml:space="preserve"> </w:t>
      </w:r>
      <w:r>
        <w:rPr>
          <w:iCs/>
          <w:i/>
        </w:rPr>
        <w:t xml:space="preserve">Journal of Archaeological Science</w:t>
      </w:r>
      <w:r>
        <w:t xml:space="preserve"> </w:t>
      </w:r>
      <w:r>
        <w:rPr>
          <w:bCs/>
          <w:b/>
        </w:rPr>
        <w:t xml:space="preserve">61</w:t>
      </w:r>
      <w:r>
        <w:t xml:space="preserve">, 59–77 (2015).</w:t>
      </w:r>
    </w:p>
    <w:bookmarkEnd w:id="70"/>
    <w:bookmarkStart w:id="72" w:name="ref-Tartar_2012"/>
    <w:p>
      <w:pPr>
        <w:pStyle w:val="Bibliography"/>
      </w:pPr>
      <w:r>
        <w:t xml:space="preserve">9.</w:t>
      </w:r>
      <w:r>
        <w:t xml:space="preserve"> </w:t>
      </w:r>
      <w:r>
        <w:t xml:space="preserve">	</w:t>
      </w:r>
      <w:r>
        <w:t xml:space="preserve">Tartar, E.</w:t>
      </w:r>
      <w:r>
        <w:t xml:space="preserve"> </w:t>
      </w:r>
      <w:hyperlink r:id="rId71">
        <w:r>
          <w:rPr>
            <w:rStyle w:val="Hyperlink"/>
          </w:rPr>
          <w:t xml:space="preserve">The recognition of a new type of bone tools in early aurignacian assemblages: Implications for understanding the appearance of osseous technology in europe</w:t>
        </w:r>
      </w:hyperlink>
      <w:r>
        <w:t xml:space="preserve">.</w:t>
      </w:r>
      <w:r>
        <w:t xml:space="preserve"> </w:t>
      </w:r>
      <w:r>
        <w:rPr>
          <w:iCs/>
          <w:i/>
        </w:rPr>
        <w:t xml:space="preserve">Journal of Archaeological Science</w:t>
      </w:r>
      <w:r>
        <w:t xml:space="preserve"> </w:t>
      </w:r>
      <w:r>
        <w:rPr>
          <w:bCs/>
          <w:b/>
        </w:rPr>
        <w:t xml:space="preserve">39</w:t>
      </w:r>
      <w:r>
        <w:t xml:space="preserve">, 2348–2360 (2012).</w:t>
      </w:r>
    </w:p>
    <w:bookmarkEnd w:id="72"/>
    <w:bookmarkStart w:id="74" w:name="ref-dutkiewicz2020"/>
    <w:p>
      <w:pPr>
        <w:pStyle w:val="Bibliography"/>
      </w:pPr>
      <w:r>
        <w:t xml:space="preserve">10.</w:t>
      </w:r>
      <w:r>
        <w:t xml:space="preserve"> </w:t>
      </w:r>
      <w:r>
        <w:t xml:space="preserve">	</w:t>
      </w:r>
      <w:r>
        <w:t xml:space="preserve">Dutkiewicz, E., Russo, G., Lee, S. &amp; Bentz, C.</w:t>
      </w:r>
      <w:r>
        <w:t xml:space="preserve"> </w:t>
      </w:r>
      <w:hyperlink r:id="rId73">
        <w:r>
          <w:rPr>
            <w:rStyle w:val="Hyperlink"/>
          </w:rPr>
          <w:t xml:space="preserve">SignBase, a collection of geometric signs on mobile objects in the paleolithic</w:t>
        </w:r>
      </w:hyperlink>
      <w:r>
        <w:t xml:space="preserve">.</w:t>
      </w:r>
      <w:r>
        <w:t xml:space="preserve"> </w:t>
      </w:r>
      <w:r>
        <w:rPr>
          <w:iCs/>
          <w:i/>
        </w:rPr>
        <w:t xml:space="preserve">Scientific Data</w:t>
      </w:r>
      <w:r>
        <w:t xml:space="preserve"> </w:t>
      </w:r>
      <w:r>
        <w:rPr>
          <w:bCs/>
          <w:b/>
        </w:rPr>
        <w:t xml:space="preserve">7</w:t>
      </w:r>
      <w:r>
        <w:t xml:space="preserve">, 364 (2020).</w:t>
      </w:r>
    </w:p>
    <w:bookmarkEnd w:id="74"/>
    <w:bookmarkStart w:id="76" w:name="ref-Chu_Richter_2020"/>
    <w:p>
      <w:pPr>
        <w:pStyle w:val="Bibliography"/>
      </w:pPr>
      <w:r>
        <w:t xml:space="preserve">11.</w:t>
      </w:r>
      <w:r>
        <w:t xml:space="preserve"> </w:t>
      </w:r>
      <w:r>
        <w:t xml:space="preserve">	</w:t>
      </w:r>
      <w:r>
        <w:t xml:space="preserve">Chu, W. &amp; Richter, J. Aurignacian cultural unit. in</w:t>
      </w:r>
      <w:r>
        <w:t xml:space="preserve"> </w:t>
      </w:r>
      <w:r>
        <w:rPr>
          <w:iCs/>
          <w:i/>
        </w:rPr>
        <w:t xml:space="preserve">Encyclopedia of global archaeology</w:t>
      </w:r>
      <w:r>
        <w:t xml:space="preserve"> </w:t>
      </w:r>
      <w:r>
        <w:t xml:space="preserve">1–10 (Springer International Publishing, Cham, 2020). doi:</w:t>
      </w:r>
      <w:hyperlink r:id="rId75">
        <w:r>
          <w:rPr>
            <w:rStyle w:val="Hyperlink"/>
          </w:rPr>
          <w:t xml:space="preserve">10.1007/978-3-319-51726-1_3441-1</w:t>
        </w:r>
      </w:hyperlink>
      <w:r>
        <w:t xml:space="preserve">.</w:t>
      </w:r>
    </w:p>
    <w:bookmarkEnd w:id="76"/>
    <w:bookmarkStart w:id="78" w:name="X68cdd7ba62fc5dd3e1e9b497937717305f7b9a0"/>
    <w:p>
      <w:pPr>
        <w:pStyle w:val="Bibliography"/>
      </w:pPr>
      <w:r>
        <w:t xml:space="preserve">12.</w:t>
      </w:r>
      <w:r>
        <w:t xml:space="preserve"> </w:t>
      </w:r>
      <w:r>
        <w:t xml:space="preserve">	</w:t>
      </w:r>
      <w:r>
        <w:t xml:space="preserve">Shao, Y.</w:t>
      </w:r>
      <w:r>
        <w:t xml:space="preserve"> </w:t>
      </w:r>
      <w:r>
        <w:rPr>
          <w:iCs/>
          <w:i/>
        </w:rPr>
        <w:t xml:space="preserve">et al.</w:t>
      </w:r>
      <w:r>
        <w:t xml:space="preserve"> </w:t>
      </w:r>
      <w:hyperlink r:id="rId77">
        <w:r>
          <w:rPr>
            <w:rStyle w:val="Hyperlink"/>
          </w:rPr>
          <w:t xml:space="preserve">Human-existence probability of the aurignacian techno-complex under extreme climate conditions</w:t>
        </w:r>
      </w:hyperlink>
      <w:r>
        <w:t xml:space="preserve">.</w:t>
      </w:r>
      <w:r>
        <w:t xml:space="preserve"> </w:t>
      </w:r>
      <w:r>
        <w:rPr>
          <w:iCs/>
          <w:i/>
        </w:rPr>
        <w:t xml:space="preserve">Quaternary Science Reviews</w:t>
      </w:r>
      <w:r>
        <w:t xml:space="preserve"> </w:t>
      </w:r>
      <w:r>
        <w:rPr>
          <w:bCs/>
          <w:b/>
        </w:rPr>
        <w:t xml:space="preserve">263</w:t>
      </w:r>
      <w:r>
        <w:t xml:space="preserve">, 106995 (2021).</w:t>
      </w:r>
    </w:p>
    <w:bookmarkEnd w:id="78"/>
    <w:bookmarkStart w:id="80" w:name="ref-Banks_dErrico_Zilhao_2013"/>
    <w:p>
      <w:pPr>
        <w:pStyle w:val="Bibliography"/>
      </w:pPr>
      <w:r>
        <w:t xml:space="preserve">13.</w:t>
      </w:r>
      <w:r>
        <w:t xml:space="preserve"> </w:t>
      </w:r>
      <w:r>
        <w:t xml:space="preserve">	</w:t>
      </w:r>
      <w:r>
        <w:t xml:space="preserve">Banks, W. E., d’Errico, F. &amp; Zilhão, J.</w:t>
      </w:r>
      <w:r>
        <w:t xml:space="preserve"> </w:t>
      </w:r>
      <w:hyperlink r:id="rId79">
        <w:r>
          <w:rPr>
            <w:rStyle w:val="Hyperlink"/>
          </w:rPr>
          <w:t xml:space="preserve">Human–climate interaction during the early upper paleolithic: Testing the hypothesis of an adaptive shift between the proto-aurignacian and the early aurignacian</w:t>
        </w:r>
      </w:hyperlink>
      <w:r>
        <w:t xml:space="preserve">.</w:t>
      </w:r>
      <w:r>
        <w:t xml:space="preserve"> </w:t>
      </w:r>
      <w:r>
        <w:rPr>
          <w:iCs/>
          <w:i/>
        </w:rPr>
        <w:t xml:space="preserve">Journal of Human Evolution</w:t>
      </w:r>
      <w:r>
        <w:t xml:space="preserve"> </w:t>
      </w:r>
      <w:r>
        <w:rPr>
          <w:bCs/>
          <w:b/>
        </w:rPr>
        <w:t xml:space="preserve">64</w:t>
      </w:r>
      <w:r>
        <w:t xml:space="preserve">, 39–55 (2013).</w:t>
      </w:r>
    </w:p>
    <w:bookmarkEnd w:id="80"/>
    <w:bookmarkStart w:id="82"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w:t>
      </w:r>
      <w:r>
        <w:t xml:space="preserve"> </w:t>
      </w:r>
      <w:r>
        <w:rPr>
          <w:iCs/>
          <w:i/>
        </w:rPr>
        <w:t xml:space="preserve">Palethnologie. Archéologie et sciences humaines</w:t>
      </w:r>
      <w:r>
        <w:t xml:space="preserve"> </w:t>
      </w:r>
      <w:r>
        <w:t xml:space="preserve">(2015) doi:</w:t>
      </w:r>
      <w:hyperlink r:id="rId81">
        <w:r>
          <w:rPr>
            <w:rStyle w:val="Hyperlink"/>
          </w:rPr>
          <w:t xml:space="preserve">10.4000/palethnologie.706</w:t>
        </w:r>
      </w:hyperlink>
      <w:r>
        <w:t xml:space="preserve">.</w:t>
      </w:r>
    </w:p>
    <w:bookmarkEnd w:id="82"/>
    <w:bookmarkStart w:id="84" w:name="ref-Fletcher_Sánchez"/>
    <w:p>
      <w:pPr>
        <w:pStyle w:val="Bibliography"/>
      </w:pPr>
      <w:r>
        <w:t xml:space="preserve">15.</w:t>
      </w:r>
      <w:r>
        <w:t xml:space="preserve"> </w:t>
      </w:r>
      <w:r>
        <w:t xml:space="preserve">	</w:t>
      </w:r>
      <w:r>
        <w:t xml:space="preserve">Fletcher, W. J.</w:t>
      </w:r>
      <w:r>
        <w:t xml:space="preserve"> </w:t>
      </w:r>
      <w:r>
        <w:rPr>
          <w:iCs/>
          <w:i/>
        </w:rPr>
        <w:t xml:space="preserve">et al.</w:t>
      </w:r>
      <w:r>
        <w:t xml:space="preserve"> </w:t>
      </w:r>
      <w:hyperlink r:id="rId83">
        <w:r>
          <w:rPr>
            <w:rStyle w:val="Hyperlink"/>
          </w:rPr>
          <w:t xml:space="preserve">Millennial-scale variability during the last glacial in vegetation records from europe</w:t>
        </w:r>
      </w:hyperlink>
      <w:r>
        <w:t xml:space="preserve">.</w:t>
      </w:r>
      <w:r>
        <w:t xml:space="preserve"> </w:t>
      </w:r>
      <w:r>
        <w:rPr>
          <w:iCs/>
          <w:i/>
        </w:rPr>
        <w:t xml:space="preserve">Quaternary Science Reviews</w:t>
      </w:r>
      <w:r>
        <w:t xml:space="preserve"> </w:t>
      </w:r>
      <w:r>
        <w:rPr>
          <w:bCs/>
          <w:b/>
        </w:rPr>
        <w:t xml:space="preserve">29</w:t>
      </w:r>
      <w:r>
        <w:t xml:space="preserve">, 2839–2864 (2010).</w:t>
      </w:r>
    </w:p>
    <w:bookmarkEnd w:id="84"/>
    <w:bookmarkStart w:id="86" w:name="ref-Lycett_2019"/>
    <w:p>
      <w:pPr>
        <w:pStyle w:val="Bibliography"/>
      </w:pPr>
      <w:r>
        <w:t xml:space="preserve">16.</w:t>
      </w:r>
      <w:r>
        <w:t xml:space="preserve"> </w:t>
      </w:r>
      <w:r>
        <w:t xml:space="preserve">	</w:t>
      </w:r>
      <w:r>
        <w:t xml:space="preserve">Lycett, S. J.</w:t>
      </w:r>
      <w:r>
        <w:t xml:space="preserve"> </w:t>
      </w:r>
      <w:hyperlink r:id="rId85">
        <w:r>
          <w:rPr>
            <w:rStyle w:val="Hyperlink"/>
          </w:rPr>
          <w:t xml:space="preserve">Confirmation of the role of geographic isolation by distance in among-tribe variations in beadwork designs and manufacture on the high plains</w:t>
        </w:r>
      </w:hyperlink>
      <w:r>
        <w:t xml:space="preserve">.</w:t>
      </w:r>
      <w:r>
        <w:t xml:space="preserve"> </w:t>
      </w:r>
      <w:r>
        <w:rPr>
          <w:iCs/>
          <w:i/>
        </w:rPr>
        <w:t xml:space="preserve">Archaeological and Anthropological Sciences</w:t>
      </w:r>
      <w:r>
        <w:t xml:space="preserve"> </w:t>
      </w:r>
      <w:r>
        <w:rPr>
          <w:bCs/>
          <w:b/>
        </w:rPr>
        <w:t xml:space="preserve">11</w:t>
      </w:r>
      <w:r>
        <w:t xml:space="preserve">, 2837–2847 (2019).</w:t>
      </w:r>
    </w:p>
    <w:bookmarkEnd w:id="86"/>
    <w:bookmarkStart w:id="88" w:name="ref-Mantel_Smouse"/>
    <w:p>
      <w:pPr>
        <w:pStyle w:val="Bibliography"/>
      </w:pPr>
      <w:r>
        <w:t xml:space="preserve">17.</w:t>
      </w:r>
      <w:r>
        <w:t xml:space="preserve"> </w:t>
      </w:r>
      <w:r>
        <w:t xml:space="preserve">	</w:t>
      </w:r>
      <w:r>
        <w:t xml:space="preserve">Smouse, P. E. &amp; Long, J. C.</w:t>
      </w:r>
      <w:r>
        <w:t xml:space="preserve"> </w:t>
      </w:r>
      <w:hyperlink r:id="rId87">
        <w:r>
          <w:rPr>
            <w:rStyle w:val="Hyperlink"/>
          </w:rPr>
          <w:t xml:space="preserve">Matrix correlation analysis in anthropology and genetics</w:t>
        </w:r>
      </w:hyperlink>
      <w:r>
        <w:t xml:space="preserve">.</w:t>
      </w:r>
      <w:r>
        <w:t xml:space="preserve"> </w:t>
      </w:r>
      <w:r>
        <w:rPr>
          <w:iCs/>
          <w:i/>
        </w:rPr>
        <w:t xml:space="preserve">American Journal of Physical Anthropology</w:t>
      </w:r>
      <w:r>
        <w:t xml:space="preserve"> </w:t>
      </w:r>
      <w:r>
        <w:rPr>
          <w:bCs/>
          <w:b/>
        </w:rPr>
        <w:t xml:space="preserve">35</w:t>
      </w:r>
      <w:r>
        <w:t xml:space="preserve">, 187–213 (1992).</w:t>
      </w:r>
    </w:p>
    <w:bookmarkEnd w:id="88"/>
    <w:bookmarkStart w:id="90" w:name="ref-Vegan2001"/>
    <w:p>
      <w:pPr>
        <w:pStyle w:val="Bibliography"/>
      </w:pPr>
      <w:r>
        <w:t xml:space="preserve">18.</w:t>
      </w:r>
      <w:r>
        <w:t xml:space="preserve"> </w:t>
      </w:r>
      <w:r>
        <w:t xml:space="preserve">	</w:t>
      </w:r>
      <w:r>
        <w:t xml:space="preserve">Oksanen, J.</w:t>
      </w:r>
      <w:r>
        <w:t xml:space="preserve"> </w:t>
      </w:r>
      <w:r>
        <w:rPr>
          <w:iCs/>
          <w:i/>
        </w:rPr>
        <w:t xml:space="preserve">et al.</w:t>
      </w:r>
      <w:r>
        <w:t xml:space="preserve"> Vegan: Community ecology package. 25–31 (2001) doi:</w:t>
      </w:r>
      <w:hyperlink r:id="rId89">
        <w:r>
          <w:rPr>
            <w:rStyle w:val="Hyperlink"/>
          </w:rPr>
          <w:t xml:space="preserve">10.32614/CRAN.package.vegan</w:t>
        </w:r>
      </w:hyperlink>
      <w:r>
        <w:t xml:space="preserve">.</w:t>
      </w:r>
    </w:p>
    <w:bookmarkEnd w:id="90"/>
    <w:bookmarkStart w:id="92" w:name="ref-Crema_Bevan_2021"/>
    <w:p>
      <w:pPr>
        <w:pStyle w:val="Bibliography"/>
      </w:pPr>
      <w:r>
        <w:t xml:space="preserve">19.</w:t>
      </w:r>
      <w:r>
        <w:t xml:space="preserve"> </w:t>
      </w:r>
      <w:r>
        <w:t xml:space="preserve">	</w:t>
      </w:r>
      <w:r>
        <w:t xml:space="preserve">Crema, E. R. &amp; Bevan, A.</w:t>
      </w:r>
      <w:r>
        <w:t xml:space="preserve"> </w:t>
      </w:r>
      <w:hyperlink r:id="rId91">
        <w:r>
          <w:rPr>
            <w:rStyle w:val="Hyperlink"/>
          </w:rPr>
          <w:t xml:space="preserve">INFERENCE FROM LARGE SETS OF RADIOCARBON DATES: SOFTWARE AND METHODS</w:t>
        </w:r>
      </w:hyperlink>
      <w:r>
        <w:t xml:space="preserve">.</w:t>
      </w:r>
      <w:r>
        <w:t xml:space="preserve"> </w:t>
      </w:r>
      <w:r>
        <w:rPr>
          <w:iCs/>
          <w:i/>
        </w:rPr>
        <w:t xml:space="preserve">Radiocarbon</w:t>
      </w:r>
      <w:r>
        <w:t xml:space="preserve"> </w:t>
      </w:r>
      <w:r>
        <w:rPr>
          <w:bCs/>
          <w:b/>
        </w:rPr>
        <w:t xml:space="preserve">63</w:t>
      </w:r>
      <w:r>
        <w:t xml:space="preserve">, 23–39 (2021).</w:t>
      </w:r>
    </w:p>
    <w:bookmarkEnd w:id="92"/>
    <w:bookmarkStart w:id="94" w:name="ref-Herskind2023"/>
    <w:p>
      <w:pPr>
        <w:pStyle w:val="Bibliography"/>
      </w:pPr>
      <w:r>
        <w:t xml:space="preserve">20.</w:t>
      </w:r>
      <w:r>
        <w:t xml:space="preserve"> </w:t>
      </w:r>
      <w:r>
        <w:t xml:space="preserve">	</w:t>
      </w:r>
      <w:r>
        <w:t xml:space="preserve">Platz, H. L. L.</w:t>
      </w:r>
      <w:r>
        <w:t xml:space="preserve"> </w:t>
      </w:r>
      <w:hyperlink r:id="rId93">
        <w:r>
          <w:rPr>
            <w:rStyle w:val="Hyperlink"/>
          </w:rPr>
          <w:t xml:space="preserve">A case for idle graffiti</w:t>
        </w:r>
      </w:hyperlink>
      <w:r>
        <w:t xml:space="preserve">.</w:t>
      </w:r>
      <w:r>
        <w:t xml:space="preserve"> </w:t>
      </w:r>
      <w:r>
        <w:rPr>
          <w:iCs/>
          <w:i/>
        </w:rPr>
        <w:t xml:space="preserve">Hunter Gatherer Research</w:t>
      </w:r>
      <w:r>
        <w:t xml:space="preserve"> </w:t>
      </w:r>
      <w:r>
        <w:rPr>
          <w:bCs/>
          <w:b/>
        </w:rPr>
        <w:t xml:space="preserve">9</w:t>
      </w:r>
      <w:r>
        <w:t xml:space="preserve">, 59–93 (2023).</w:t>
      </w:r>
    </w:p>
    <w:bookmarkEnd w:id="94"/>
    <w:bookmarkStart w:id="96" w:name="ref-Rigaud_dErrico_Vanhaeren_2015"/>
    <w:p>
      <w:pPr>
        <w:pStyle w:val="Bibliography"/>
      </w:pPr>
      <w:r>
        <w:t xml:space="preserve">21.</w:t>
      </w:r>
      <w:r>
        <w:t xml:space="preserve"> </w:t>
      </w:r>
      <w:r>
        <w:t xml:space="preserve">	</w:t>
      </w:r>
      <w:r>
        <w:t xml:space="preserve">Rigaud, S., d’Errico, F. &amp; Vanhaeren, M.</w:t>
      </w:r>
      <w:r>
        <w:t xml:space="preserve"> </w:t>
      </w:r>
      <w:hyperlink r:id="rId95">
        <w:r>
          <w:rPr>
            <w:rStyle w:val="Hyperlink"/>
          </w:rPr>
          <w:t xml:space="preserve">Ornaments reveal resistance of north european cultures to the spread of farming</w:t>
        </w:r>
      </w:hyperlink>
      <w:r>
        <w:t xml:space="preserve">.</w:t>
      </w:r>
      <w:r>
        <w:t xml:space="preserve"> </w:t>
      </w:r>
      <w:r>
        <w:rPr>
          <w:iCs/>
          <w:i/>
        </w:rPr>
        <w:t xml:space="preserve">PLOS ONE</w:t>
      </w:r>
      <w:r>
        <w:t xml:space="preserve"> </w:t>
      </w:r>
      <w:r>
        <w:rPr>
          <w:bCs/>
          <w:b/>
        </w:rPr>
        <w:t xml:space="preserve">10</w:t>
      </w:r>
      <w:r>
        <w:t xml:space="preserve">, e0121166 (2015).</w:t>
      </w:r>
    </w:p>
    <w:bookmarkEnd w:id="96"/>
    <w:bookmarkStart w:id="98" w:name="ref-Hahsler_Hornik_Buchta"/>
    <w:p>
      <w:pPr>
        <w:pStyle w:val="Bibliography"/>
      </w:pPr>
      <w:r>
        <w:t xml:space="preserve">22.</w:t>
      </w:r>
      <w:r>
        <w:t xml:space="preserve"> </w:t>
      </w:r>
      <w:r>
        <w:t xml:space="preserve">	</w:t>
      </w:r>
      <w:r>
        <w:t xml:space="preserve">Hahsler, M., Hornik, K. &amp; Buchta, C.</w:t>
      </w:r>
      <w:r>
        <w:t xml:space="preserve"> </w:t>
      </w:r>
      <w:hyperlink r:id="rId97">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98"/>
    <w:bookmarkStart w:id="100" w:name="ref-Brower_Kile_1988"/>
    <w:p>
      <w:pPr>
        <w:pStyle w:val="Bibliography"/>
      </w:pPr>
      <w:r>
        <w:t xml:space="preserve">23.</w:t>
      </w:r>
      <w:r>
        <w:t xml:space="preserve"> </w:t>
      </w:r>
      <w:r>
        <w:t xml:space="preserve">	</w:t>
      </w:r>
      <w:r>
        <w:t xml:space="preserve">Brower, J. C. &amp; Kile, K. M.</w:t>
      </w:r>
      <w:r>
        <w:t xml:space="preserve"> </w:t>
      </w:r>
      <w:hyperlink r:id="rId99">
        <w:r>
          <w:rPr>
            <w:rStyle w:val="Hyperlink"/>
          </w:rPr>
          <w:t xml:space="preserve">Seriation of an original data matrix as applied to paleoecology</w:t>
        </w:r>
      </w:hyperlink>
      <w:r>
        <w:t xml:space="preserve">.</w:t>
      </w:r>
      <w:r>
        <w:t xml:space="preserve"> </w:t>
      </w:r>
      <w:r>
        <w:rPr>
          <w:iCs/>
          <w:i/>
        </w:rPr>
        <w:t xml:space="preserve">Lethaia</w:t>
      </w:r>
      <w:r>
        <w:t xml:space="preserve"> </w:t>
      </w:r>
      <w:r>
        <w:rPr>
          <w:bCs/>
          <w:b/>
        </w:rPr>
        <w:t xml:space="preserve">21</w:t>
      </w:r>
      <w:r>
        <w:t xml:space="preserve">, 79–93 (1988).</w:t>
      </w:r>
    </w:p>
    <w:bookmarkEnd w:id="100"/>
    <w:bookmarkStart w:id="101" w:name="ref-seriation_pckge"/>
    <w:p>
      <w:pPr>
        <w:pStyle w:val="Bibliography"/>
      </w:pPr>
      <w:r>
        <w:t xml:space="preserve">24.</w:t>
      </w:r>
      <w:r>
        <w:t xml:space="preserve"> </w:t>
      </w:r>
      <w:r>
        <w:t xml:space="preserve">	</w:t>
      </w:r>
      <w:r>
        <w:t xml:space="preserve">Hahsler, M., Hornik, K. &amp; Buchta, C.</w:t>
      </w:r>
      <w:r>
        <w:t xml:space="preserve"> </w:t>
      </w:r>
      <w:hyperlink r:id="rId97">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101"/>
    <w:bookmarkStart w:id="103" w:name="ref-Mills_2017"/>
    <w:p>
      <w:pPr>
        <w:pStyle w:val="Bibliography"/>
      </w:pPr>
      <w:r>
        <w:t xml:space="preserve">25.</w:t>
      </w:r>
      <w:r>
        <w:t xml:space="preserve"> </w:t>
      </w:r>
      <w:r>
        <w:t xml:space="preserve">	</w:t>
      </w:r>
      <w:r>
        <w:t xml:space="preserve">Mills, B. J.</w:t>
      </w:r>
      <w:r>
        <w:t xml:space="preserve"> </w:t>
      </w:r>
      <w:hyperlink r:id="rId102">
        <w:r>
          <w:rPr>
            <w:rStyle w:val="Hyperlink"/>
          </w:rPr>
          <w:t xml:space="preserve">Social network analysis in archaeology</w:t>
        </w:r>
      </w:hyperlink>
      <w:r>
        <w:t xml:space="preserve">.</w:t>
      </w:r>
      <w:r>
        <w:t xml:space="preserve"> </w:t>
      </w:r>
      <w:r>
        <w:rPr>
          <w:iCs/>
          <w:i/>
        </w:rPr>
        <w:t xml:space="preserve">Annual Review of Anthropology</w:t>
      </w:r>
      <w:r>
        <w:t xml:space="preserve"> </w:t>
      </w:r>
      <w:r>
        <w:rPr>
          <w:bCs/>
          <w:b/>
        </w:rPr>
        <w:t xml:space="preserve">46</w:t>
      </w:r>
      <w:r>
        <w:t xml:space="preserve">, 379–397 (2017).</w:t>
      </w:r>
    </w:p>
    <w:bookmarkEnd w:id="103"/>
    <w:bookmarkStart w:id="105" w:name="ref-Fruchterman_Reingold_1991"/>
    <w:p>
      <w:pPr>
        <w:pStyle w:val="Bibliography"/>
      </w:pPr>
      <w:r>
        <w:t xml:space="preserve">26.</w:t>
      </w:r>
      <w:r>
        <w:t xml:space="preserve"> </w:t>
      </w:r>
      <w:r>
        <w:t xml:space="preserve">	</w:t>
      </w:r>
      <w:r>
        <w:t xml:space="preserve">Fruchterman, T. M. J. &amp; Reingold, E. M.</w:t>
      </w:r>
      <w:r>
        <w:t xml:space="preserve"> </w:t>
      </w:r>
      <w:hyperlink r:id="rId104">
        <w:r>
          <w:rPr>
            <w:rStyle w:val="Hyperlink"/>
          </w:rPr>
          <w:t xml:space="preserve">Graph drawing by force-directed placement</w:t>
        </w:r>
      </w:hyperlink>
      <w:r>
        <w:t xml:space="preserve">.</w:t>
      </w:r>
      <w:r>
        <w:t xml:space="preserve"> </w:t>
      </w:r>
      <w:r>
        <w:rPr>
          <w:iCs/>
          <w:i/>
        </w:rPr>
        <w:t xml:space="preserve">Software: Practice and Experience</w:t>
      </w:r>
      <w:r>
        <w:t xml:space="preserve"> </w:t>
      </w:r>
      <w:r>
        <w:rPr>
          <w:bCs/>
          <w:b/>
        </w:rPr>
        <w:t xml:space="preserve">21</w:t>
      </w:r>
      <w:r>
        <w:t xml:space="preserve">, 1129–1164 (1991).</w:t>
      </w:r>
    </w:p>
    <w:bookmarkEnd w:id="105"/>
    <w:bookmarkStart w:id="107" w:name="ref-statnet_package"/>
    <w:p>
      <w:pPr>
        <w:pStyle w:val="Bibliography"/>
      </w:pPr>
      <w:r>
        <w:t xml:space="preserve">27.</w:t>
      </w:r>
      <w:r>
        <w:t xml:space="preserve"> </w:t>
      </w:r>
      <w:r>
        <w:t xml:space="preserve">	</w:t>
      </w:r>
      <w:r>
        <w:t xml:space="preserve">Pavel N. Krivitsky, M. S. H.</w:t>
      </w:r>
      <w:r>
        <w:t xml:space="preserve"> </w:t>
      </w:r>
      <w:r>
        <w:rPr>
          <w:iCs/>
          <w:i/>
        </w:rPr>
        <w:t xml:space="preserve">et al.</w:t>
      </w:r>
      <w:r>
        <w:t xml:space="preserve"> </w:t>
      </w:r>
      <w:hyperlink r:id="rId106">
        <w:r>
          <w:rPr>
            <w:rStyle w:val="Hyperlink"/>
          </w:rPr>
          <w:t xml:space="preserve">Statnet: Tools for the statistical modeling of network data</w:t>
        </w:r>
      </w:hyperlink>
      <w:r>
        <w:t xml:space="preserve">. Statnet Development Team (2003–2024).</w:t>
      </w:r>
    </w:p>
    <w:bookmarkEnd w:id="107"/>
    <w:bookmarkStart w:id="109" w:name="ref-igraph_package"/>
    <w:p>
      <w:pPr>
        <w:pStyle w:val="Bibliography"/>
      </w:pPr>
      <w:r>
        <w:t xml:space="preserve">28.</w:t>
      </w:r>
      <w:r>
        <w:t xml:space="preserve"> </w:t>
      </w:r>
      <w:r>
        <w:t xml:space="preserve">	</w:t>
      </w:r>
      <w:r>
        <w:t xml:space="preserve">Csardi, G. &amp; Nepusz, T.</w:t>
      </w:r>
      <w:r>
        <w:t xml:space="preserve"> </w:t>
      </w:r>
      <w:hyperlink r:id="rId108">
        <w:r>
          <w:rPr>
            <w:rStyle w:val="Hyperlink"/>
          </w:rPr>
          <w:t xml:space="preserve">The igraph software package for complex network research</w:t>
        </w:r>
      </w:hyperlink>
      <w:r>
        <w:t xml:space="preserve">.</w:t>
      </w:r>
      <w:r>
        <w:t xml:space="preserve"> </w:t>
      </w:r>
      <w:r>
        <w:rPr>
          <w:iCs/>
          <w:i/>
        </w:rPr>
        <w:t xml:space="preserve">InterJournal</w:t>
      </w:r>
      <w:r>
        <w:t xml:space="preserve"> </w:t>
      </w:r>
      <w:r>
        <w:t xml:space="preserve">vols Complex Systems 1695 (2006).</w:t>
      </w:r>
    </w:p>
    <w:bookmarkEnd w:id="109"/>
    <w:bookmarkStart w:id="111" w:name="ref-Anderson_2017"/>
    <w:p>
      <w:pPr>
        <w:pStyle w:val="Bibliography"/>
      </w:pPr>
      <w:r>
        <w:t xml:space="preserve">29.</w:t>
      </w:r>
      <w:r>
        <w:t xml:space="preserve"> </w:t>
      </w:r>
      <w:r>
        <w:t xml:space="preserve">	</w:t>
      </w:r>
      <w:r>
        <w:t xml:space="preserve">Anderson, M. J. Permutational multivariate analysis of variance (PERMANOVA). in</w:t>
      </w:r>
      <w:r>
        <w:t xml:space="preserve"> </w:t>
      </w:r>
      <w:r>
        <w:rPr>
          <w:iCs/>
          <w:i/>
        </w:rPr>
        <w:t xml:space="preserve">Wiley StatsRef: Statistics reference online</w:t>
      </w:r>
      <w:r>
        <w:t xml:space="preserve"> </w:t>
      </w:r>
      <w:r>
        <w:t xml:space="preserve">1–15 (John Wiley &amp; Sons, Ltd, 2017). doi:</w:t>
      </w:r>
      <w:hyperlink r:id="rId110">
        <w:r>
          <w:rPr>
            <w:rStyle w:val="Hyperlink"/>
          </w:rPr>
          <w:t xml:space="preserve">10.1002/9781118445112.stat07841</w:t>
        </w:r>
      </w:hyperlink>
      <w:r>
        <w:t xml:space="preserve">.</w:t>
      </w:r>
    </w:p>
    <w:bookmarkEnd w:id="111"/>
    <w:bookmarkStart w:id="113" w:name="ref-Shennan_Crema_Kerig_2015"/>
    <w:p>
      <w:pPr>
        <w:pStyle w:val="Bibliography"/>
      </w:pPr>
      <w:r>
        <w:t xml:space="preserve">30.</w:t>
      </w:r>
      <w:r>
        <w:t xml:space="preserve"> </w:t>
      </w:r>
      <w:r>
        <w:t xml:space="preserve">	</w:t>
      </w:r>
      <w:r>
        <w:t xml:space="preserve">Shennan, S. J., Crema, E. R. &amp; Kerig, T.</w:t>
      </w:r>
      <w:r>
        <w:t xml:space="preserve"> </w:t>
      </w:r>
      <w:hyperlink r:id="rId112">
        <w:r>
          <w:rPr>
            <w:rStyle w:val="Hyperlink"/>
          </w:rPr>
          <w:t xml:space="preserve">Isolation-by-distance, homophily, and</w:t>
        </w:r>
        <w:r>
          <w:rPr>
            <w:rStyle w:val="Hyperlink"/>
          </w:rPr>
          <w:t xml:space="preserve"> </w:t>
        </w:r>
        <w:r>
          <w:rPr>
            <w:rStyle w:val="Hyperlink"/>
          </w:rPr>
          <w:t xml:space="preserve">‘core’</w:t>
        </w:r>
        <w:r>
          <w:rPr>
            <w:rStyle w:val="Hyperlink"/>
          </w:rPr>
          <w:t xml:space="preserve"> </w:t>
        </w:r>
        <w:r>
          <w:rPr>
            <w:rStyle w:val="Hyperlink"/>
          </w:rPr>
          <w:t xml:space="preserve">vs.</w:t>
        </w:r>
        <w:r>
          <w:rPr>
            <w:rStyle w:val="Hyperlink"/>
          </w:rPr>
          <w:t xml:space="preserve"> </w:t>
        </w:r>
        <w:r>
          <w:rPr>
            <w:rStyle w:val="Hyperlink"/>
          </w:rPr>
          <w:t xml:space="preserve">‘Package’</w:t>
        </w:r>
        <w:r>
          <w:rPr>
            <w:rStyle w:val="Hyperlink"/>
          </w:rPr>
          <w:t xml:space="preserve"> </w:t>
        </w:r>
        <w:r>
          <w:rPr>
            <w:rStyle w:val="Hyperlink"/>
          </w:rPr>
          <w:t xml:space="preserve">cultural evolution models in neolithic europe</w:t>
        </w:r>
      </w:hyperlink>
      <w:r>
        <w:t xml:space="preserve">.</w:t>
      </w:r>
      <w:r>
        <w:t xml:space="preserve"> </w:t>
      </w:r>
      <w:r>
        <w:rPr>
          <w:iCs/>
          <w:i/>
        </w:rPr>
        <w:t xml:space="preserve">Evolution and Human Behavior</w:t>
      </w:r>
      <w:r>
        <w:t xml:space="preserve"> </w:t>
      </w:r>
      <w:r>
        <w:rPr>
          <w:bCs/>
          <w:b/>
        </w:rPr>
        <w:t xml:space="preserve">36</w:t>
      </w:r>
      <w:r>
        <w:t xml:space="preserve">, 103–109 (2015).</w:t>
      </w:r>
    </w:p>
    <w:bookmarkEnd w:id="113"/>
    <w:bookmarkStart w:id="115" w:name="ref-Finlayson_Warren_2017"/>
    <w:p>
      <w:pPr>
        <w:pStyle w:val="Bibliography"/>
      </w:pPr>
      <w:r>
        <w:t xml:space="preserve">31.</w:t>
      </w:r>
      <w:r>
        <w:t xml:space="preserve"> </w:t>
      </w:r>
      <w:r>
        <w:t xml:space="preserve">	</w:t>
      </w:r>
      <w:r>
        <w:t xml:space="preserve">Finlayson, B. &amp; Warren, G.</w:t>
      </w:r>
      <w:r>
        <w:t xml:space="preserve"> </w:t>
      </w:r>
      <w:hyperlink r:id="rId114">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w:t>
      </w:r>
      <w:r>
        <w:t xml:space="preserve">(eds. Finlayson, B. &amp; Warren, G.) 1–14 (Oxbow Books, 2017).</w:t>
      </w:r>
    </w:p>
    <w:bookmarkEnd w:id="115"/>
    <w:bookmarkStart w:id="117" w:name="ref-Riches_1995"/>
    <w:p>
      <w:pPr>
        <w:pStyle w:val="Bibliography"/>
      </w:pPr>
      <w:r>
        <w:t xml:space="preserve">32.</w:t>
      </w:r>
      <w:r>
        <w:t xml:space="preserve"> </w:t>
      </w:r>
      <w:r>
        <w:t xml:space="preserve">	</w:t>
      </w:r>
      <w:r>
        <w:t xml:space="preserve">Riches, D.</w:t>
      </w:r>
      <w:r>
        <w:t xml:space="preserve"> </w:t>
      </w:r>
      <w:hyperlink r:id="rId116">
        <w:r>
          <w:rPr>
            <w:rStyle w:val="Hyperlink"/>
          </w:rPr>
          <w:t xml:space="preserve">Hunter-gatherer structural transformations</w:t>
        </w:r>
      </w:hyperlink>
      <w:r>
        <w:t xml:space="preserve">.</w:t>
      </w:r>
      <w:r>
        <w:t xml:space="preserve"> </w:t>
      </w:r>
      <w:r>
        <w:rPr>
          <w:iCs/>
          <w:i/>
        </w:rPr>
        <w:t xml:space="preserve">The Journal of the Royal Anthropological Institute</w:t>
      </w:r>
      <w:r>
        <w:t xml:space="preserve"> </w:t>
      </w:r>
      <w:r>
        <w:rPr>
          <w:bCs/>
          <w:b/>
        </w:rPr>
        <w:t xml:space="preserve">1</w:t>
      </w:r>
      <w:r>
        <w:t xml:space="preserve">, 679–701 (1995).</w:t>
      </w:r>
    </w:p>
    <w:bookmarkEnd w:id="117"/>
    <w:bookmarkStart w:id="119" w:name="ref-Price_Brown_1985"/>
    <w:p>
      <w:pPr>
        <w:pStyle w:val="Bibliography"/>
      </w:pPr>
      <w:r>
        <w:t xml:space="preserve">33.</w:t>
      </w:r>
      <w:r>
        <w:t xml:space="preserve"> </w:t>
      </w:r>
      <w:r>
        <w:t xml:space="preserve">	</w:t>
      </w:r>
      <w:r>
        <w:t xml:space="preserve">Price, T. D. &amp; Brown, J. A. Aspects of hunter–gatherer complexity. in</w:t>
      </w:r>
      <w:r>
        <w:t xml:space="preserve"> </w:t>
      </w:r>
      <w:r>
        <w:rPr>
          <w:iCs/>
          <w:i/>
        </w:rPr>
        <w:t xml:space="preserve">Prehistoric hunters-gatherers</w:t>
      </w:r>
      <w:r>
        <w:t xml:space="preserve"> </w:t>
      </w:r>
      <w:r>
        <w:t xml:space="preserve">(eds. Price, T. D. &amp; Brown, J. A.) 3–20 (Academic Press, 1985). doi:</w:t>
      </w:r>
      <w:hyperlink r:id="rId118">
        <w:r>
          <w:rPr>
            <w:rStyle w:val="Hyperlink"/>
          </w:rPr>
          <w:t xml:space="preserve">https://doi.org/10.1016/B978-0-12-564750-2.50006-8</w:t>
        </w:r>
      </w:hyperlink>
      <w:r>
        <w:t xml:space="preserve">.</w:t>
      </w:r>
    </w:p>
    <w:bookmarkEnd w:id="119"/>
    <w:bookmarkStart w:id="121" w:name="ref-Lane_2017"/>
    <w:p>
      <w:pPr>
        <w:pStyle w:val="Bibliography"/>
      </w:pPr>
      <w:r>
        <w:t xml:space="preserve">34.</w:t>
      </w:r>
      <w:r>
        <w:t xml:space="preserve"> </w:t>
      </w:r>
      <w:r>
        <w:t xml:space="preserve">	</w:t>
      </w:r>
      <w:r>
        <w:t xml:space="preserve">Lane, P. J.</w:t>
      </w:r>
      <w:r>
        <w:t xml:space="preserve"> </w:t>
      </w:r>
      <w:hyperlink r:id="rId120">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w:t>
      </w:r>
      <w:r>
        <w:t xml:space="preserve">(eds. Finlayson, B. &amp; Warren, G.) 185–196 (Oxbow Books, 2017).</w:t>
      </w:r>
    </w:p>
    <w:bookmarkEnd w:id="121"/>
    <w:bookmarkStart w:id="122" w:name="ref-Pate_2006"/>
    <w:p>
      <w:pPr>
        <w:pStyle w:val="Bibliography"/>
      </w:pPr>
      <w:r>
        <w:t xml:space="preserve">35.</w:t>
      </w:r>
      <w:r>
        <w:t xml:space="preserve"> </w:t>
      </w:r>
      <w:r>
        <w:t xml:space="preserve">	</w:t>
      </w:r>
      <w:r>
        <w:t xml:space="preserve">Pate, F. Hunter-gatherer social complexity at roonka flat, south australia. in</w:t>
      </w:r>
      <w:r>
        <w:t xml:space="preserve"> </w:t>
      </w:r>
      <w:r>
        <w:rPr>
          <w:iCs/>
          <w:i/>
        </w:rPr>
        <w:t xml:space="preserve">The social archaeology of australian indigenous societies</w:t>
      </w:r>
      <w:r>
        <w:t xml:space="preserve"> </w:t>
      </w:r>
      <w:r>
        <w:t xml:space="preserve">226–241 (Aboriginal Studies Press, 2006).</w:t>
      </w:r>
    </w:p>
    <w:bookmarkEnd w:id="122"/>
    <w:bookmarkStart w:id="124" w:name="ref-Johnson_2014"/>
    <w:p>
      <w:pPr>
        <w:pStyle w:val="Bibliography"/>
      </w:pPr>
      <w:r>
        <w:t xml:space="preserve">36.</w:t>
      </w:r>
      <w:r>
        <w:t xml:space="preserve"> </w:t>
      </w:r>
      <w:r>
        <w:t xml:space="preserve">	</w:t>
      </w:r>
      <w:r>
        <w:t xml:space="preserve">Johnson, A. L.</w:t>
      </w:r>
      <w:r>
        <w:t xml:space="preserve"> </w:t>
      </w:r>
      <w:hyperlink r:id="rId123">
        <w:r>
          <w:rPr>
            <w:rStyle w:val="Hyperlink"/>
          </w:rPr>
          <w:t xml:space="preserve">Exploring adaptive variation among hunter-gatherers with binford’s frames of reference</w:t>
        </w:r>
      </w:hyperlink>
      <w:r>
        <w:t xml:space="preserve">.</w:t>
      </w:r>
      <w:r>
        <w:t xml:space="preserve"> </w:t>
      </w:r>
      <w:r>
        <w:rPr>
          <w:iCs/>
          <w:i/>
        </w:rPr>
        <w:t xml:space="preserve">Journal of Archaeological Research</w:t>
      </w:r>
      <w:r>
        <w:t xml:space="preserve"> </w:t>
      </w:r>
      <w:r>
        <w:rPr>
          <w:bCs/>
          <w:b/>
        </w:rPr>
        <w:t xml:space="preserve">22</w:t>
      </w:r>
      <w:r>
        <w:t xml:space="preserve">, 1–42 (2014).</w:t>
      </w:r>
    </w:p>
    <w:bookmarkEnd w:id="124"/>
    <w:bookmarkStart w:id="126" w:name="ref-Singh_Glowacki_2022"/>
    <w:p>
      <w:pPr>
        <w:pStyle w:val="Bibliography"/>
      </w:pPr>
      <w:r>
        <w:t xml:space="preserve">37.</w:t>
      </w:r>
      <w:r>
        <w:t xml:space="preserve"> </w:t>
      </w:r>
      <w:r>
        <w:t xml:space="preserve">	</w:t>
      </w:r>
      <w:r>
        <w:t xml:space="preserve">Singh, M. &amp; Glowacki, L.</w:t>
      </w:r>
      <w:r>
        <w:t xml:space="preserve"> </w:t>
      </w:r>
      <w:hyperlink r:id="rId125">
        <w:r>
          <w:rPr>
            <w:rStyle w:val="Hyperlink"/>
          </w:rPr>
          <w:t xml:space="preserve">Human social organization during the late pleistocene: Beyond the nomadic-egalitarian model</w:t>
        </w:r>
      </w:hyperlink>
      <w:r>
        <w:t xml:space="preserve">.</w:t>
      </w:r>
      <w:r>
        <w:t xml:space="preserve"> </w:t>
      </w:r>
      <w:r>
        <w:rPr>
          <w:iCs/>
          <w:i/>
        </w:rPr>
        <w:t xml:space="preserve">Evolution and Human Behavior</w:t>
      </w:r>
      <w:r>
        <w:t xml:space="preserve"> </w:t>
      </w:r>
      <w:r>
        <w:rPr>
          <w:bCs/>
          <w:b/>
        </w:rPr>
        <w:t xml:space="preserve">43</w:t>
      </w:r>
      <w:r>
        <w:t xml:space="preserve">, 418–431 (2022).</w:t>
      </w:r>
    </w:p>
    <w:bookmarkEnd w:id="126"/>
    <w:bookmarkStart w:id="128" w:name="ref-Schwendler_2012"/>
    <w:p>
      <w:pPr>
        <w:pStyle w:val="Bibliography"/>
      </w:pPr>
      <w:r>
        <w:t xml:space="preserve">38.</w:t>
      </w:r>
      <w:r>
        <w:t xml:space="preserve"> </w:t>
      </w:r>
      <w:r>
        <w:t xml:space="preserve">	</w:t>
      </w:r>
      <w:r>
        <w:t xml:space="preserve">Schwendler, R. H.</w:t>
      </w:r>
      <w:r>
        <w:t xml:space="preserve"> </w:t>
      </w:r>
      <w:hyperlink r:id="rId127">
        <w:r>
          <w:rPr>
            <w:rStyle w:val="Hyperlink"/>
          </w:rPr>
          <w:t xml:space="preserve">Diversity in social organization across magdalenian western europe ca. 17–12,000 BP</w:t>
        </w:r>
      </w:hyperlink>
      <w:r>
        <w:t xml:space="preserve">.</w:t>
      </w:r>
      <w:r>
        <w:t xml:space="preserve"> </w:t>
      </w:r>
      <w:r>
        <w:rPr>
          <w:iCs/>
          <w:i/>
        </w:rPr>
        <w:t xml:space="preserve">Quaternary International</w:t>
      </w:r>
      <w:r>
        <w:t xml:space="preserve"> </w:t>
      </w:r>
      <w:r>
        <w:rPr>
          <w:bCs/>
          <w:b/>
        </w:rPr>
        <w:t xml:space="preserve">272–273</w:t>
      </w:r>
      <w:r>
        <w:t xml:space="preserve">, 333–353 (2012).</w:t>
      </w:r>
    </w:p>
    <w:bookmarkEnd w:id="128"/>
    <w:bookmarkStart w:id="130" w:name="ref-Morwood_1987"/>
    <w:p>
      <w:pPr>
        <w:pStyle w:val="Bibliography"/>
      </w:pPr>
      <w:r>
        <w:t xml:space="preserve">39.</w:t>
      </w:r>
      <w:r>
        <w:t xml:space="preserve"> </w:t>
      </w:r>
      <w:r>
        <w:t xml:space="preserve">	</w:t>
      </w:r>
      <w:r>
        <w:t xml:space="preserve">Morwood, M. J.</w:t>
      </w:r>
      <w:r>
        <w:t xml:space="preserve"> </w:t>
      </w:r>
      <w:hyperlink r:id="rId129">
        <w:r>
          <w:rPr>
            <w:rStyle w:val="Hyperlink"/>
          </w:rPr>
          <w:t xml:space="preserve">The archaeology of social complexity in south-east queensland</w:t>
        </w:r>
      </w:hyperlink>
      <w:r>
        <w:t xml:space="preserve">.</w:t>
      </w:r>
      <w:r>
        <w:t xml:space="preserve"> </w:t>
      </w:r>
      <w:r>
        <w:rPr>
          <w:iCs/>
          <w:i/>
        </w:rPr>
        <w:t xml:space="preserve">Proceedings of the Prehistoric Society</w:t>
      </w:r>
      <w:r>
        <w:t xml:space="preserve"> </w:t>
      </w:r>
      <w:r>
        <w:rPr>
          <w:bCs/>
          <w:b/>
        </w:rPr>
        <w:t xml:space="preserve">53</w:t>
      </w:r>
      <w:r>
        <w:t xml:space="preserve">, 337–350 (1987).</w:t>
      </w:r>
    </w:p>
    <w:bookmarkEnd w:id="130"/>
    <w:bookmarkStart w:id="132" w:name="ref-Mattson_2021"/>
    <w:p>
      <w:pPr>
        <w:pStyle w:val="Bibliography"/>
      </w:pPr>
      <w:r>
        <w:t xml:space="preserve">40.</w:t>
      </w:r>
      <w:r>
        <w:t xml:space="preserve"> </w:t>
      </w:r>
      <w:r>
        <w:t xml:space="preserve">	</w:t>
      </w:r>
      <w:r>
        <w:t xml:space="preserve">Mattson, H. V. Personal adornment and identity construction in archaeology: in</w:t>
      </w:r>
      <w:r>
        <w:t xml:space="preserve"> </w:t>
      </w:r>
      <w:r>
        <w:rPr>
          <w:iCs/>
          <w:i/>
        </w:rPr>
        <w:t xml:space="preserve">Personal adornment and the construction of identity</w:t>
      </w:r>
      <w:r>
        <w:t xml:space="preserve"> </w:t>
      </w:r>
      <w:r>
        <w:t xml:space="preserve">(ed. Mattson, H. V.) 1–24 (Oxbow Books, 2021). doi:</w:t>
      </w:r>
      <w:hyperlink r:id="rId131">
        <w:r>
          <w:rPr>
            <w:rStyle w:val="Hyperlink"/>
          </w:rPr>
          <w:t xml:space="preserve">10.2307/j.ctv24q4z2g.5</w:t>
        </w:r>
      </w:hyperlink>
      <w:r>
        <w:t xml:space="preserve">.</w:t>
      </w:r>
    </w:p>
    <w:bookmarkEnd w:id="132"/>
    <w:bookmarkStart w:id="133" w:name="ref-Larsson_2006"/>
    <w:p>
      <w:pPr>
        <w:pStyle w:val="Bibliography"/>
      </w:pPr>
      <w:r>
        <w:t xml:space="preserve">41.</w:t>
      </w:r>
      <w:r>
        <w:t xml:space="preserve"> </w:t>
      </w:r>
      <w:r>
        <w:t xml:space="preserve">	</w:t>
      </w:r>
      <w:r>
        <w:t xml:space="preserve">Larsson, L. 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w:t>
      </w:r>
      <w:r>
        <w:t xml:space="preserve">vol. 52 253–287 (Almqvist &amp; Wiksell International, 2006).</w:t>
      </w:r>
    </w:p>
    <w:bookmarkEnd w:id="133"/>
    <w:bookmarkStart w:id="135" w:name="ref-Moore_2010"/>
    <w:p>
      <w:pPr>
        <w:pStyle w:val="Bibliography"/>
      </w:pPr>
      <w:r>
        <w:t xml:space="preserve">42.</w:t>
      </w:r>
      <w:r>
        <w:t xml:space="preserve"> </w:t>
      </w:r>
      <w:r>
        <w:t xml:space="preserve">	</w:t>
      </w:r>
      <w:r>
        <w:t xml:space="preserve">Moore, C. R.</w:t>
      </w:r>
      <w:r>
        <w:t xml:space="preserve"> </w:t>
      </w:r>
      <w:hyperlink r:id="rId134">
        <w:r>
          <w:rPr>
            <w:rStyle w:val="Hyperlink"/>
          </w:rPr>
          <w:t xml:space="preserve">A macroscopic investigation of technological style and the production of middle to late archaic fishhooks at the chiggerville, read, and baker sites, western kentucky</w:t>
        </w:r>
      </w:hyperlink>
      <w:r>
        <w:t xml:space="preserve">.</w:t>
      </w:r>
      <w:r>
        <w:t xml:space="preserve"> </w:t>
      </w:r>
      <w:r>
        <w:rPr>
          <w:iCs/>
          <w:i/>
        </w:rPr>
        <w:t xml:space="preserve">Southeastern Archaeology</w:t>
      </w:r>
      <w:r>
        <w:t xml:space="preserve"> </w:t>
      </w:r>
      <w:r>
        <w:rPr>
          <w:bCs/>
          <w:b/>
        </w:rPr>
        <w:t xml:space="preserve">29</w:t>
      </w:r>
      <w:r>
        <w:t xml:space="preserve">, 197–221 (2010).</w:t>
      </w:r>
    </w:p>
    <w:bookmarkEnd w:id="135"/>
    <w:bookmarkStart w:id="137" w:name="ref-Alfonso-Durrruty_Giles_Misarti2015"/>
    <w:p>
      <w:pPr>
        <w:pStyle w:val="Bibliography"/>
      </w:pPr>
      <w:r>
        <w:t xml:space="preserve">43.</w:t>
      </w:r>
      <w:r>
        <w:t xml:space="preserve"> </w:t>
      </w:r>
      <w:r>
        <w:t xml:space="preserve">	</w:t>
      </w:r>
      <w:r>
        <w:t xml:space="preserve">Alfonso-Durrruty, M. P., Giles, B. T., Misarti, N., San Roman, M. &amp; Morello, F.</w:t>
      </w:r>
      <w:r>
        <w:t xml:space="preserve"> </w:t>
      </w:r>
      <w:hyperlink r:id="rId136">
        <w:r>
          <w:rPr>
            <w:rStyle w:val="Hyperlink"/>
          </w:rPr>
          <w:t xml:space="preserve">Antiquity and geographic distribution of cranial modification among the prehistoric groups of fuego-patagonia, chile</w:t>
        </w:r>
      </w:hyperlink>
      <w:r>
        <w:t xml:space="preserve">.</w:t>
      </w:r>
      <w:r>
        <w:t xml:space="preserve"> </w:t>
      </w:r>
      <w:r>
        <w:rPr>
          <w:iCs/>
          <w:i/>
        </w:rPr>
        <w:t xml:space="preserve">American Journal of Physical Anthropology</w:t>
      </w:r>
      <w:r>
        <w:t xml:space="preserve"> </w:t>
      </w:r>
      <w:r>
        <w:rPr>
          <w:bCs/>
          <w:b/>
        </w:rPr>
        <w:t xml:space="preserve">158</w:t>
      </w:r>
      <w:r>
        <w:t xml:space="preserve">, 607–623 (2015).</w:t>
      </w:r>
    </w:p>
    <w:bookmarkEnd w:id="137"/>
    <w:bookmarkStart w:id="138" w:name="ref-Vanhaeren_2005"/>
    <w:p>
      <w:pPr>
        <w:pStyle w:val="Bibliography"/>
      </w:pPr>
      <w:r>
        <w:t xml:space="preserve">44.</w:t>
      </w:r>
      <w:r>
        <w:t xml:space="preserve"> </w:t>
      </w:r>
      <w:r>
        <w:t xml:space="preserve">	</w:t>
      </w:r>
      <w:r>
        <w:t xml:space="preserve">Vanhaeren, M. Speaking with beads: The evolutionary significance of personal ornaments. in</w:t>
      </w:r>
      <w:r>
        <w:t xml:space="preserve"> </w:t>
      </w:r>
      <w:r>
        <w:rPr>
          <w:iCs/>
          <w:i/>
        </w:rPr>
        <w:t xml:space="preserve">From tools to symbols: From early hominids to modern humans</w:t>
      </w:r>
      <w:r>
        <w:t xml:space="preserve"> </w:t>
      </w:r>
      <w:r>
        <w:t xml:space="preserve">(eds. d’Errico, F. &amp; Backwell, L.) 525–554 (Wits University Press, 2005).</w:t>
      </w:r>
    </w:p>
    <w:bookmarkEnd w:id="138"/>
    <w:bookmarkStart w:id="140" w:name="ref-Conkey_1985"/>
    <w:p>
      <w:pPr>
        <w:pStyle w:val="Bibliography"/>
      </w:pPr>
      <w:r>
        <w:t xml:space="preserve">45.</w:t>
      </w:r>
      <w:r>
        <w:t xml:space="preserve"> </w:t>
      </w:r>
      <w:r>
        <w:t xml:space="preserve">	</w:t>
      </w:r>
      <w:r>
        <w:t xml:space="preserve">Conkey, M. Ritual communication, social elaboration, and the variable trajectories of paleolithic material culture. in</w:t>
      </w:r>
      <w:r>
        <w:t xml:space="preserve"> </w:t>
      </w:r>
      <w:r>
        <w:rPr>
          <w:iCs/>
          <w:i/>
        </w:rPr>
        <w:t xml:space="preserve">Prehistoric hunters-gatherers</w:t>
      </w:r>
      <w:r>
        <w:t xml:space="preserve"> </w:t>
      </w:r>
      <w:r>
        <w:t xml:space="preserve">(eds. Price, T. D. &amp; Brown, J. A.) 299–323 (Academic Press, 1985). doi:</w:t>
      </w:r>
      <w:hyperlink r:id="rId139">
        <w:r>
          <w:rPr>
            <w:rStyle w:val="Hyperlink"/>
          </w:rPr>
          <w:t xml:space="preserve">https://doi.org/10.1016/B978-0-12-564750-2.50016-0</w:t>
        </w:r>
      </w:hyperlink>
      <w:r>
        <w:t xml:space="preserve">.</w:t>
      </w:r>
    </w:p>
    <w:bookmarkEnd w:id="140"/>
    <w:bookmarkStart w:id="141" w:name="ref-Conkey_1978"/>
    <w:p>
      <w:pPr>
        <w:pStyle w:val="Bibliography"/>
      </w:pPr>
      <w:r>
        <w:t xml:space="preserve">46.</w:t>
      </w:r>
      <w:r>
        <w:t xml:space="preserve"> </w:t>
      </w:r>
      <w:r>
        <w:t xml:space="preserve">	</w:t>
      </w:r>
      <w:r>
        <w:t xml:space="preserve">Conkey, M. Style and information in cultural evolution: Toward a predictive model for the paleolithic. in</w:t>
      </w:r>
      <w:r>
        <w:t xml:space="preserve"> </w:t>
      </w:r>
      <w:r>
        <w:rPr>
          <w:iCs/>
          <w:i/>
        </w:rPr>
        <w:t xml:space="preserve">Social archaeology: Beyond subsistence and dating</w:t>
      </w:r>
      <w:r>
        <w:t xml:space="preserve"> </w:t>
      </w:r>
      <w:r>
        <w:t xml:space="preserve">61–85 (New York: Academic Press, 1978).</w:t>
      </w:r>
    </w:p>
    <w:bookmarkEnd w:id="141"/>
    <w:bookmarkStart w:id="143" w:name="ref-Tilley_1982"/>
    <w:p>
      <w:pPr>
        <w:pStyle w:val="Bibliography"/>
      </w:pPr>
      <w:r>
        <w:t xml:space="preserve">47.</w:t>
      </w:r>
      <w:r>
        <w:t xml:space="preserve"> </w:t>
      </w:r>
      <w:r>
        <w:t xml:space="preserve">	</w:t>
      </w:r>
      <w:r>
        <w:t xml:space="preserve">Tilley, C. Social formation, social structures and social change. in</w:t>
      </w:r>
      <w:r>
        <w:t xml:space="preserve"> </w:t>
      </w:r>
      <w:r>
        <w:rPr>
          <w:iCs/>
          <w:i/>
        </w:rPr>
        <w:t xml:space="preserve">Symbolic and structural archaeology</w:t>
      </w:r>
      <w:r>
        <w:t xml:space="preserve"> </w:t>
      </w:r>
      <w:r>
        <w:t xml:space="preserve">(ed. Hodder, I.) 26–38 (Cambridge University Press, Cambridge, 1982). doi:</w:t>
      </w:r>
      <w:hyperlink r:id="rId142">
        <w:r>
          <w:rPr>
            <w:rStyle w:val="Hyperlink"/>
          </w:rPr>
          <w:t xml:space="preserve">10.1017/CBO9780511558252.004</w:t>
        </w:r>
      </w:hyperlink>
      <w:r>
        <w:t xml:space="preserve">.</w:t>
      </w:r>
    </w:p>
    <w:bookmarkEnd w:id="143"/>
    <w:bookmarkStart w:id="145" w:name="ref-Hodder1979"/>
    <w:p>
      <w:pPr>
        <w:pStyle w:val="Bibliography"/>
      </w:pPr>
      <w:r>
        <w:t xml:space="preserve">48.</w:t>
      </w:r>
      <w:r>
        <w:t xml:space="preserve"> </w:t>
      </w:r>
      <w:r>
        <w:t xml:space="preserve">	</w:t>
      </w:r>
      <w:r>
        <w:t xml:space="preserve">Hodder, I.</w:t>
      </w:r>
      <w:r>
        <w:t xml:space="preserve"> </w:t>
      </w:r>
      <w:hyperlink r:id="rId144">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rPr>
          <w:bCs/>
          <w:b/>
        </w:rPr>
        <w:t xml:space="preserve">44</w:t>
      </w:r>
      <w:r>
        <w:t xml:space="preserve">, 446–454 (1979).</w:t>
      </w:r>
    </w:p>
    <w:bookmarkEnd w:id="145"/>
    <w:bookmarkStart w:id="147" w:name="ref-Hodder1977"/>
    <w:p>
      <w:pPr>
        <w:pStyle w:val="Bibliography"/>
      </w:pPr>
      <w:r>
        <w:t xml:space="preserve">49.</w:t>
      </w:r>
      <w:r>
        <w:t xml:space="preserve"> </w:t>
      </w:r>
      <w:r>
        <w:t xml:space="preserve">	</w:t>
      </w:r>
      <w:r>
        <w:t xml:space="preserve">Hodder, I.</w:t>
      </w:r>
      <w:r>
        <w:t xml:space="preserve"> </w:t>
      </w:r>
      <w:hyperlink r:id="rId146">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rPr>
          <w:bCs/>
          <w:b/>
        </w:rPr>
        <w:t xml:space="preserve">12</w:t>
      </w:r>
      <w:r>
        <w:t xml:space="preserve">, 239–269 (1977).</w:t>
      </w:r>
    </w:p>
    <w:bookmarkEnd w:id="147"/>
    <w:bookmarkStart w:id="148" w:name="ref-Binford_1990"/>
    <w:p>
      <w:pPr>
        <w:pStyle w:val="Bibliography"/>
      </w:pPr>
      <w:r>
        <w:t xml:space="preserve">50.</w:t>
      </w:r>
      <w:r>
        <w:t xml:space="preserve"> </w:t>
      </w:r>
      <w:r>
        <w:t xml:space="preserve">	</w:t>
      </w:r>
      <w:r>
        <w:t xml:space="preserve">Binford, L. R. Mobility, housing, and environment: A comparative study.</w:t>
      </w:r>
      <w:r>
        <w:t xml:space="preserve"> </w:t>
      </w:r>
      <w:r>
        <w:rPr>
          <w:iCs/>
          <w:i/>
        </w:rPr>
        <w:t xml:space="preserve">Journal of Anthropological Research</w:t>
      </w:r>
      <w:r>
        <w:t xml:space="preserve"> </w:t>
      </w:r>
      <w:r>
        <w:rPr>
          <w:bCs/>
          <w:b/>
        </w:rPr>
        <w:t xml:space="preserve">46</w:t>
      </w:r>
      <w:r>
        <w:t xml:space="preserve">, 119–152 (1990).</w:t>
      </w:r>
    </w:p>
    <w:bookmarkEnd w:id="148"/>
    <w:bookmarkStart w:id="149" w:name="ref-Kelly_1983"/>
    <w:p>
      <w:pPr>
        <w:pStyle w:val="Bibliography"/>
      </w:pPr>
      <w:r>
        <w:t xml:space="preserve">51.</w:t>
      </w:r>
      <w:r>
        <w:t xml:space="preserve"> </w:t>
      </w:r>
      <w:r>
        <w:t xml:space="preserve">	</w:t>
      </w:r>
      <w:r>
        <w:t xml:space="preserve">Kelly, R. L. Hunter-gatherer mobility strategies.</w:t>
      </w:r>
      <w:r>
        <w:t xml:space="preserve"> </w:t>
      </w:r>
      <w:r>
        <w:rPr>
          <w:iCs/>
          <w:i/>
        </w:rPr>
        <w:t xml:space="preserve">Journal of Anthropological Research</w:t>
      </w:r>
      <w:r>
        <w:t xml:space="preserve"> </w:t>
      </w:r>
      <w:r>
        <w:rPr>
          <w:bCs/>
          <w:b/>
        </w:rPr>
        <w:t xml:space="preserve">39</w:t>
      </w:r>
      <w:r>
        <w:t xml:space="preserve">, 277–306 (1983).</w:t>
      </w:r>
    </w:p>
    <w:bookmarkEnd w:id="149"/>
    <w:bookmarkStart w:id="151" w:name="ref-Padilla-Iglesias_Bischoff_2024"/>
    <w:p>
      <w:pPr>
        <w:pStyle w:val="Bibliography"/>
      </w:pPr>
      <w:r>
        <w:t xml:space="preserve">52.</w:t>
      </w:r>
      <w:r>
        <w:t xml:space="preserve"> </w:t>
      </w:r>
      <w:r>
        <w:t xml:space="preserve">	</w:t>
      </w:r>
      <w:r>
        <w:t xml:space="preserve">Padilla-Iglesias, C. &amp; Bischoff, R. J.</w:t>
      </w:r>
      <w:r>
        <w:t xml:space="preserve"> </w:t>
      </w:r>
      <w:hyperlink r:id="rId150">
        <w:r>
          <w:rPr>
            <w:rStyle w:val="Hyperlink"/>
          </w:rPr>
          <w:t xml:space="preserve">Hunter-gatherer mobility patterns influence the reconstruction of social networks from archaeological assemblages</w:t>
        </w:r>
      </w:hyperlink>
      <w:r>
        <w:t xml:space="preserve">.</w:t>
      </w:r>
      <w:r>
        <w:t xml:space="preserve"> </w:t>
      </w:r>
      <w:r>
        <w:rPr>
          <w:iCs/>
          <w:i/>
        </w:rPr>
        <w:t xml:space="preserve">Journal of Archaeological Science: Reports</w:t>
      </w:r>
      <w:r>
        <w:t xml:space="preserve"> </w:t>
      </w:r>
      <w:r>
        <w:rPr>
          <w:bCs/>
          <w:b/>
        </w:rPr>
        <w:t xml:space="preserve">59</w:t>
      </w:r>
      <w:r>
        <w:t xml:space="preserve">, 104798 (2024).</w:t>
      </w:r>
    </w:p>
    <w:bookmarkEnd w:id="151"/>
    <w:bookmarkStart w:id="153" w:name="ref-Whallon_2006"/>
    <w:p>
      <w:pPr>
        <w:pStyle w:val="Bibliography"/>
      </w:pPr>
      <w:r>
        <w:t xml:space="preserve">53.</w:t>
      </w:r>
      <w:r>
        <w:t xml:space="preserve"> </w:t>
      </w:r>
      <w:r>
        <w:t xml:space="preserve">	</w:t>
      </w:r>
      <w:r>
        <w:t xml:space="preserve">Whallon, R.</w:t>
      </w:r>
      <w:r>
        <w:t xml:space="preserve"> </w:t>
      </w:r>
      <w:hyperlink r:id="rId152">
        <w:r>
          <w:rPr>
            <w:rStyle w:val="Hyperlink"/>
          </w:rPr>
          <w:t xml:space="preserve">Social networks and information: Non-</w:t>
        </w:r>
        <w:r>
          <w:rPr>
            <w:rStyle w:val="Hyperlink"/>
          </w:rPr>
          <w:t xml:space="preserve">‘utilitarian’</w:t>
        </w:r>
        <w:r>
          <w:rPr>
            <w:rStyle w:val="Hyperlink"/>
          </w:rPr>
          <w:t xml:space="preserve"> </w:t>
        </w:r>
        <w:r>
          <w:rPr>
            <w:rStyle w:val="Hyperlink"/>
          </w:rPr>
          <w:t xml:space="preserve">mobility among hunter-gatherers</w:t>
        </w:r>
      </w:hyperlink>
      <w:r>
        <w:t xml:space="preserve">.</w:t>
      </w:r>
      <w:r>
        <w:t xml:space="preserve"> </w:t>
      </w:r>
      <w:r>
        <w:rPr>
          <w:iCs/>
          <w:i/>
        </w:rPr>
        <w:t xml:space="preserve">Journal of Anthropological Archaeology</w:t>
      </w:r>
      <w:r>
        <w:t xml:space="preserve"> </w:t>
      </w:r>
      <w:r>
        <w:rPr>
          <w:bCs/>
          <w:b/>
        </w:rPr>
        <w:t xml:space="preserve">25</w:t>
      </w:r>
      <w:r>
        <w:t xml:space="preserve">, 259–270 (2006).</w:t>
      </w:r>
    </w:p>
    <w:bookmarkEnd w:id="153"/>
    <w:bookmarkStart w:id="154" w:name="ref-Fitzhugh_Phillips_Gjesfeld_2011"/>
    <w:p>
      <w:pPr>
        <w:pStyle w:val="Bibliography"/>
      </w:pPr>
      <w:r>
        <w:t xml:space="preserve">54.</w:t>
      </w:r>
      <w:r>
        <w:t xml:space="preserve"> </w:t>
      </w:r>
      <w:r>
        <w:t xml:space="preserve">	</w:t>
      </w:r>
      <w:r>
        <w:t xml:space="preserve">Fitzhugh, B., Phillips, S. C. &amp; Gjesfeld, E. Modeling hunter-gatherer information networks: An archaeological case study from the kuril islands. in</w:t>
      </w:r>
      <w:r>
        <w:t xml:space="preserve"> </w:t>
      </w:r>
      <w:r>
        <w:rPr>
          <w:iCs/>
          <w:i/>
        </w:rPr>
        <w:t xml:space="preserve">Information and its role in hunter-gatherer bands</w:t>
      </w:r>
      <w:r>
        <w:t xml:space="preserve"> </w:t>
      </w:r>
      <w:r>
        <w:t xml:space="preserve">89–115 (Cotsen Institute of Archaeology Press at UCLA, 2011).</w:t>
      </w:r>
    </w:p>
    <w:bookmarkEnd w:id="154"/>
    <w:bookmarkStart w:id="156" w:name="ref-Lovis_Donahue_2011"/>
    <w:p>
      <w:pPr>
        <w:pStyle w:val="Bibliography"/>
      </w:pPr>
      <w:r>
        <w:t xml:space="preserve">55.</w:t>
      </w:r>
      <w:r>
        <w:t xml:space="preserve"> </w:t>
      </w:r>
      <w:r>
        <w:t xml:space="preserve">	</w:t>
      </w:r>
      <w:r>
        <w:t xml:space="preserve">Lovis, W. A. &amp; Donahue, R. E. Space, information and knowledge: in</w:t>
      </w:r>
      <w:r>
        <w:t xml:space="preserve"> </w:t>
      </w:r>
      <w:r>
        <w:rPr>
          <w:iCs/>
          <w:i/>
        </w:rPr>
        <w:t xml:space="preserve">Information and its role in hunter-gatherer bands</w:t>
      </w:r>
      <w:r>
        <w:t xml:space="preserve"> </w:t>
      </w:r>
      <w:r>
        <w:t xml:space="preserve">(eds. WHALLON, R., LOVIS, W. A. &amp; HITCHCOCK, R. K.) 59–84 (Cotsen Institute of Archaeology Press at UCLA, 2011). doi:</w:t>
      </w:r>
      <w:hyperlink r:id="rId155">
        <w:r>
          <w:rPr>
            <w:rStyle w:val="Hyperlink"/>
          </w:rPr>
          <w:t xml:space="preserve">10.2307/j.ctvdmwwz4.7</w:t>
        </w:r>
      </w:hyperlink>
      <w:r>
        <w:t xml:space="preserve">.</w:t>
      </w:r>
    </w:p>
    <w:bookmarkEnd w:id="156"/>
    <w:bookmarkStart w:id="158" w:name="ref-Hitchcock_Ebert_2011"/>
    <w:p>
      <w:pPr>
        <w:pStyle w:val="Bibliography"/>
      </w:pPr>
      <w:r>
        <w:t xml:space="preserve">56.</w:t>
      </w:r>
      <w:r>
        <w:t xml:space="preserve"> </w:t>
      </w:r>
      <w:r>
        <w:t xml:space="preserve">	</w:t>
      </w:r>
      <w:r>
        <w:t xml:space="preserve">Hitchcock, R. K. &amp; Ebert, J. I. Where is that job? Hunter-gatherer information systems in complex social environments in the eastern kalahari desert, botswana. in</w:t>
      </w:r>
      <w:r>
        <w:t xml:space="preserve"> </w:t>
      </w:r>
      <w:r>
        <w:rPr>
          <w:iCs/>
          <w:i/>
        </w:rPr>
        <w:t xml:space="preserve">Information and its role in hunter-gatherer bands</w:t>
      </w:r>
      <w:r>
        <w:t xml:space="preserve"> </w:t>
      </w:r>
      <w:r>
        <w:t xml:space="preserve">(eds. WHALLON, R., LOVIS, W. A. &amp; HITCHCOCK, R. K.) 133–166 (Cotsen Institute of Archaeology Press at UCLA, 2011). doi:</w:t>
      </w:r>
      <w:hyperlink r:id="rId157">
        <w:r>
          <w:rPr>
            <w:rStyle w:val="Hyperlink"/>
          </w:rPr>
          <w:t xml:space="preserve">10.2307/j.ctvdmwwz4.10</w:t>
        </w:r>
      </w:hyperlink>
      <w:r>
        <w:t xml:space="preserve">.</w:t>
      </w:r>
    </w:p>
    <w:bookmarkEnd w:id="158"/>
    <w:bookmarkStart w:id="160" w:name="ref-Romano_Lozano_Fern2022"/>
    <w:p>
      <w:pPr>
        <w:pStyle w:val="Bibliography"/>
      </w:pPr>
      <w:r>
        <w:t xml:space="preserve">57.</w:t>
      </w:r>
      <w:r>
        <w:t xml:space="preserve"> </w:t>
      </w:r>
      <w:r>
        <w:t xml:space="preserve">	</w:t>
      </w:r>
      <w:r>
        <w:t xml:space="preserve">Romano, V., Lozano, S. &amp; Fernández-López de Pablo, J.</w:t>
      </w:r>
      <w:r>
        <w:t xml:space="preserve"> </w:t>
      </w:r>
      <w:hyperlink r:id="rId159">
        <w:r>
          <w:rPr>
            <w:rStyle w:val="Hyperlink"/>
          </w:rPr>
          <w:t xml:space="preserve">Reconstructing social networks of late glacial and holocene hunter–gatherers to understand cultural evolution</w:t>
        </w:r>
      </w:hyperlink>
      <w:r>
        <w:t xml:space="preserve">.</w:t>
      </w:r>
      <w:r>
        <w:t xml:space="preserve"> </w:t>
      </w:r>
      <w:r>
        <w:rPr>
          <w:iCs/>
          <w:i/>
        </w:rPr>
        <w:t xml:space="preserve">Philosophical Transactions of the Royal Society B</w:t>
      </w:r>
      <w:r>
        <w:t xml:space="preserve"> </w:t>
      </w:r>
      <w:r>
        <w:rPr>
          <w:bCs/>
          <w:b/>
        </w:rPr>
        <w:t xml:space="preserve">377</w:t>
      </w:r>
      <w:r>
        <w:t xml:space="preserve">, (2022).</w:t>
      </w:r>
    </w:p>
    <w:bookmarkEnd w:id="160"/>
    <w:bookmarkStart w:id="162" w:name="ref-Kelly_2024"/>
    <w:p>
      <w:pPr>
        <w:pStyle w:val="Bibliography"/>
      </w:pPr>
      <w:r>
        <w:t xml:space="preserve">58.</w:t>
      </w:r>
      <w:r>
        <w:t xml:space="preserve"> </w:t>
      </w:r>
      <w:r>
        <w:t xml:space="preserve">	</w:t>
      </w:r>
      <w:r>
        <w:t xml:space="preserve">Kelly, P. Comparing australian message sticks and sequentially marked objects of the upper palaeolithic: Problems and opportunities.</w:t>
      </w:r>
      <w:r>
        <w:t xml:space="preserve"> </w:t>
      </w:r>
      <w:r>
        <w:rPr>
          <w:iCs/>
          <w:i/>
        </w:rPr>
        <w:t xml:space="preserve">Topics in Cognitive Science</w:t>
      </w:r>
      <w:r>
        <w:t xml:space="preserve"> </w:t>
      </w:r>
      <w:r>
        <w:t xml:space="preserve">(2024) doi:</w:t>
      </w:r>
      <w:hyperlink r:id="rId161">
        <w:r>
          <w:rPr>
            <w:rStyle w:val="Hyperlink"/>
          </w:rPr>
          <w:t xml:space="preserve">10.1111/tops.12762</w:t>
        </w:r>
      </w:hyperlink>
      <w:r>
        <w:t xml:space="preserve">.</w:t>
      </w:r>
    </w:p>
    <w:bookmarkEnd w:id="162"/>
    <w:bookmarkStart w:id="164" w:name="ref-Kinahan_2013"/>
    <w:p>
      <w:pPr>
        <w:pStyle w:val="Bibliography"/>
      </w:pPr>
      <w:r>
        <w:t xml:space="preserve">59.</w:t>
      </w:r>
      <w:r>
        <w:t xml:space="preserve"> </w:t>
      </w:r>
      <w:r>
        <w:t xml:space="preserve">	</w:t>
      </w:r>
      <w:r>
        <w:t xml:space="preserve">Kinahan, J.</w:t>
      </w:r>
      <w:r>
        <w:t xml:space="preserve"> </w:t>
      </w:r>
      <w:hyperlink r:id="rId163">
        <w:r>
          <w:rPr>
            <w:rStyle w:val="Hyperlink"/>
          </w:rPr>
          <w:t xml:space="preserve">The acquisition of ceramics by hunter-gatherers on the middle zambezi in the first and second millennium AD</w:t>
        </w:r>
      </w:hyperlink>
      <w:r>
        <w:t xml:space="preserve">.</w:t>
      </w:r>
      <w:r>
        <w:t xml:space="preserve"> </w:t>
      </w:r>
      <w:r>
        <w:rPr>
          <w:iCs/>
          <w:i/>
        </w:rPr>
        <w:t xml:space="preserve">Journal of African Archaeology</w:t>
      </w:r>
      <w:r>
        <w:t xml:space="preserve"> </w:t>
      </w:r>
      <w:r>
        <w:rPr>
          <w:bCs/>
          <w:b/>
        </w:rPr>
        <w:t xml:space="preserve">11</w:t>
      </w:r>
      <w:r>
        <w:t xml:space="preserve">, 197–209 (2013).</w:t>
      </w:r>
    </w:p>
    <w:bookmarkEnd w:id="164"/>
    <w:bookmarkStart w:id="166" w:name="ref-Newlander_2012"/>
    <w:p>
      <w:pPr>
        <w:pStyle w:val="Bibliography"/>
      </w:pPr>
      <w:r>
        <w:t xml:space="preserve">60.</w:t>
      </w:r>
      <w:r>
        <w:t xml:space="preserve"> </w:t>
      </w:r>
      <w:r>
        <w:t xml:space="preserve">	</w:t>
      </w:r>
      <w:r>
        <w:t xml:space="preserve">Newlander, K. S.</w:t>
      </w:r>
      <w:r>
        <w:t xml:space="preserve"> </w:t>
      </w:r>
      <w:hyperlink r:id="rId165">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w:t>
      </w:r>
      <w:r>
        <w:t xml:space="preserve">(University of Michigan, 2012).</w:t>
      </w:r>
    </w:p>
    <w:bookmarkEnd w:id="166"/>
    <w:bookmarkStart w:id="168" w:name="ref-Iizuka_Ferguson_Izuho_2022"/>
    <w:p>
      <w:pPr>
        <w:pStyle w:val="Bibliography"/>
      </w:pPr>
      <w:r>
        <w:t xml:space="preserve">61.</w:t>
      </w:r>
      <w:r>
        <w:t xml:space="preserve"> </w:t>
      </w:r>
      <w:r>
        <w:t xml:space="preserve">	</w:t>
      </w:r>
      <w:r>
        <w:t xml:space="preserve">Iizuka, F., Ferguson, J. R. &amp; Izuho, M.</w:t>
      </w:r>
      <w:r>
        <w:t xml:space="preserve"> </w:t>
      </w:r>
      <w:hyperlink r:id="rId167">
        <w:r>
          <w:rPr>
            <w:rStyle w:val="Hyperlink"/>
          </w:rPr>
          <w:t xml:space="preserve">Late pleistocene pottery production and exchange: Provenance studies of hunter-gatherer wares from southern kyushu, japan by neutron activation analysis</w:t>
        </w:r>
      </w:hyperlink>
      <w:r>
        <w:t xml:space="preserve">.</w:t>
      </w:r>
      <w:r>
        <w:t xml:space="preserve"> </w:t>
      </w:r>
      <w:r>
        <w:rPr>
          <w:iCs/>
          <w:i/>
        </w:rPr>
        <w:t xml:space="preserve">PLOS ONE</w:t>
      </w:r>
      <w:r>
        <w:t xml:space="preserve"> </w:t>
      </w:r>
      <w:r>
        <w:rPr>
          <w:bCs/>
          <w:b/>
        </w:rPr>
        <w:t xml:space="preserve">17</w:t>
      </w:r>
      <w:r>
        <w:t xml:space="preserve">, e0265329 (2022).</w:t>
      </w:r>
    </w:p>
    <w:bookmarkEnd w:id="168"/>
    <w:bookmarkStart w:id="170" w:name="ref-conkley_agg"/>
    <w:p>
      <w:pPr>
        <w:pStyle w:val="Bibliography"/>
      </w:pPr>
      <w:r>
        <w:t xml:space="preserve">62.</w:t>
      </w:r>
      <w:r>
        <w:t xml:space="preserve"> </w:t>
      </w:r>
      <w:r>
        <w:t xml:space="preserve">	</w:t>
      </w:r>
      <w:r>
        <w:t xml:space="preserve">Conkey, M.</w:t>
      </w:r>
      <w:r>
        <w:t xml:space="preserve"> </w:t>
      </w:r>
      <w:r>
        <w:rPr>
          <w:iCs/>
          <w:i/>
        </w:rPr>
        <w:t xml:space="preserve">et al.</w:t>
      </w:r>
      <w:r>
        <w:t xml:space="preserve"> </w:t>
      </w:r>
      <w:hyperlink r:id="rId169">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rPr>
          <w:bCs/>
          <w:b/>
        </w:rPr>
        <w:t xml:space="preserve">21</w:t>
      </w:r>
      <w:r>
        <w:t xml:space="preserve">, 609–630 (1980).</w:t>
      </w:r>
    </w:p>
    <w:bookmarkEnd w:id="170"/>
    <w:bookmarkStart w:id="172" w:name="ref-Maher_Conkey_2019"/>
    <w:p>
      <w:pPr>
        <w:pStyle w:val="Bibliography"/>
      </w:pPr>
      <w:r>
        <w:t xml:space="preserve">63.</w:t>
      </w:r>
      <w:r>
        <w:t xml:space="preserve"> </w:t>
      </w:r>
      <w:r>
        <w:t xml:space="preserve">	</w:t>
      </w:r>
      <w:r>
        <w:t xml:space="preserve">Maher, L. A. &amp; Conkey, M.</w:t>
      </w:r>
      <w:r>
        <w:t xml:space="preserve"> </w:t>
      </w:r>
      <w:hyperlink r:id="rId171">
        <w:r>
          <w:rPr>
            <w:rStyle w:val="Hyperlink"/>
          </w:rPr>
          <w:t xml:space="preserve">Homes for hunters?: Exploring the concept of home at hunter-gatherer sites in upper paleolithic europe and epipaleolithic southwest asia</w:t>
        </w:r>
      </w:hyperlink>
      <w:r>
        <w:t xml:space="preserve">.</w:t>
      </w:r>
      <w:r>
        <w:t xml:space="preserve"> </w:t>
      </w:r>
      <w:r>
        <w:rPr>
          <w:iCs/>
          <w:i/>
        </w:rPr>
        <w:t xml:space="preserve">Current Anthropology</w:t>
      </w:r>
      <w:r>
        <w:t xml:space="preserve"> </w:t>
      </w:r>
      <w:r>
        <w:rPr>
          <w:bCs/>
          <w:b/>
        </w:rPr>
        <w:t xml:space="preserve">60</w:t>
      </w:r>
      <w:r>
        <w:t xml:space="preserve">, 91–137 (2019).</w:t>
      </w:r>
    </w:p>
    <w:bookmarkEnd w:id="172"/>
    <w:bookmarkStart w:id="173" w:name="ref-bahn1982inter"/>
    <w:p>
      <w:pPr>
        <w:pStyle w:val="Bibliography"/>
      </w:pPr>
      <w:r>
        <w:t xml:space="preserve">64.</w:t>
      </w:r>
      <w:r>
        <w:t xml:space="preserve"> </w:t>
      </w:r>
      <w:r>
        <w:t xml:space="preserve">	</w:t>
      </w:r>
      <w:r>
        <w:t xml:space="preserve">Bahn, P. G. Inter-site and inter-regional links during the upper palaeolithic: The pyrenean evidence.</w:t>
      </w:r>
      <w:r>
        <w:t xml:space="preserve"> </w:t>
      </w:r>
      <w:r>
        <w:rPr>
          <w:iCs/>
          <w:i/>
        </w:rPr>
        <w:t xml:space="preserve">Oxford journal of Archaeology</w:t>
      </w:r>
      <w:r>
        <w:t xml:space="preserve"> </w:t>
      </w:r>
      <w:r>
        <w:rPr>
          <w:bCs/>
          <w:b/>
        </w:rPr>
        <w:t xml:space="preserve">1</w:t>
      </w:r>
      <w:r>
        <w:t xml:space="preserve">, 247–268 (1982).</w:t>
      </w:r>
    </w:p>
    <w:bookmarkEnd w:id="173"/>
    <w:bookmarkStart w:id="175" w:name="ref-Bourdier_2013"/>
    <w:p>
      <w:pPr>
        <w:pStyle w:val="Bibliography"/>
      </w:pPr>
      <w:r>
        <w:t xml:space="preserve">65.</w:t>
      </w:r>
      <w:r>
        <w:t xml:space="preserve"> </w:t>
      </w:r>
      <w:r>
        <w:t xml:space="preserve">	</w:t>
      </w:r>
      <w:r>
        <w:t xml:space="preserve">Bourdier, C.</w:t>
      </w:r>
      <w:r>
        <w:t xml:space="preserve"> </w:t>
      </w:r>
      <w:hyperlink r:id="rId174">
        <w:r>
          <w:rPr>
            <w:rStyle w:val="Hyperlink"/>
          </w:rPr>
          <w:t xml:space="preserve">Rock art and social geography in the upper paleolithic. Contribution to the socio-cultural function of the roc-aux-sorciers rock-shelter (angles-sur-l’anglin, france) from the viewpoint of its sculpted frieze</w:t>
        </w:r>
      </w:hyperlink>
      <w:r>
        <w:t xml:space="preserve">.</w:t>
      </w:r>
      <w:r>
        <w:t xml:space="preserve"> </w:t>
      </w:r>
      <w:r>
        <w:rPr>
          <w:iCs/>
          <w:i/>
        </w:rPr>
        <w:t xml:space="preserve">Journal of Anthropological Archaeology</w:t>
      </w:r>
      <w:r>
        <w:t xml:space="preserve"> </w:t>
      </w:r>
      <w:r>
        <w:rPr>
          <w:bCs/>
          <w:b/>
        </w:rPr>
        <w:t xml:space="preserve">32</w:t>
      </w:r>
      <w:r>
        <w:t xml:space="preserve">, 368–382 (2013).</w:t>
      </w:r>
    </w:p>
    <w:bookmarkEnd w:id="175"/>
    <w:bookmarkStart w:id="177" w:name="ref-Svoboda_2013"/>
    <w:p>
      <w:pPr>
        <w:pStyle w:val="Bibliography"/>
      </w:pPr>
      <w:r>
        <w:t xml:space="preserve">66.</w:t>
      </w:r>
      <w:r>
        <w:t xml:space="preserve"> </w:t>
      </w:r>
      <w:r>
        <w:t xml:space="preserve">	</w:t>
      </w:r>
      <w:r>
        <w:t xml:space="preserve">Svoboda, J. Art gravettien de pavlov i et VI: Comparaison d’un site d’agrégation et d’un site épisodique.</w:t>
      </w:r>
      <w:r>
        <w:t xml:space="preserve"> </w:t>
      </w:r>
      <w:r>
        <w:rPr>
          <w:iCs/>
          <w:i/>
        </w:rPr>
        <w:t xml:space="preserve">Palethnologie. Archéologie et sciences humaines</w:t>
      </w:r>
      <w:r>
        <w:t xml:space="preserve"> </w:t>
      </w:r>
      <w:r>
        <w:t xml:space="preserve">(2013) doi:</w:t>
      </w:r>
      <w:hyperlink r:id="rId176">
        <w:r>
          <w:rPr>
            <w:rStyle w:val="Hyperlink"/>
          </w:rPr>
          <w:t xml:space="preserve">10.4000/palethnologie.4945</w:t>
        </w:r>
      </w:hyperlink>
      <w:r>
        <w:t xml:space="preserve">.</w:t>
      </w:r>
    </w:p>
    <w:bookmarkEnd w:id="177"/>
    <w:bookmarkStart w:id="178" w:name="ref-white1992rethinking"/>
    <w:p>
      <w:pPr>
        <w:pStyle w:val="Bibliography"/>
      </w:pPr>
      <w:r>
        <w:t xml:space="preserve">67.</w:t>
      </w:r>
      <w:r>
        <w:t xml:space="preserve"> </w:t>
      </w:r>
      <w:r>
        <w:t xml:space="preserve">	</w:t>
      </w:r>
      <w:r>
        <w:t xml:space="preserve">White, R. Rethinking the middle/upper paleolithic transition.</w:t>
      </w:r>
      <w:r>
        <w:t xml:space="preserve"> </w:t>
      </w:r>
      <w:r>
        <w:rPr>
          <w:iCs/>
          <w:i/>
        </w:rPr>
        <w:t xml:space="preserve">Current Anthropology</w:t>
      </w:r>
      <w:r>
        <w:t xml:space="preserve"> </w:t>
      </w:r>
      <w:r>
        <w:rPr>
          <w:bCs/>
          <w:b/>
        </w:rPr>
        <w:t xml:space="preserve">33</w:t>
      </w:r>
      <w:r>
        <w:t xml:space="preserve">, 85–108 (1992).</w:t>
      </w:r>
    </w:p>
    <w:bookmarkEnd w:id="178"/>
    <w:bookmarkStart w:id="179" w:name="X79d7c52b9cdbe72fc1b94e51c6ee6057d0c4a50"/>
    <w:p>
      <w:pPr>
        <w:pStyle w:val="Bibliography"/>
      </w:pPr>
      <w:r>
        <w:t xml:space="preserve">68.</w:t>
      </w:r>
      <w:r>
        <w:t xml:space="preserve"> </w:t>
      </w:r>
      <w:r>
        <w:t xml:space="preserve">	</w:t>
      </w:r>
      <w:r>
        <w:t xml:space="preserve">Soffer, O., Adovasio, J. M., Enloe, J. G., Audouze, F. &amp; Zubrow, E. B. W. The roles of perishable technologies in upper paleolithic lives. in</w:t>
      </w:r>
      <w:r>
        <w:t xml:space="preserve"> </w:t>
      </w:r>
      <w:r>
        <w:rPr>
          <w:iCs/>
          <w:i/>
        </w:rPr>
        <w:t xml:space="preserve">The magdalenian household</w:t>
      </w:r>
      <w:r>
        <w:t xml:space="preserve"> </w:t>
      </w:r>
      <w:r>
        <w:t xml:space="preserve">235–244 (SUNY Press, 2010).</w:t>
      </w:r>
    </w:p>
    <w:bookmarkEnd w:id="179"/>
    <w:bookmarkStart w:id="181" w:name="ref-montet-white1994"/>
    <w:p>
      <w:pPr>
        <w:pStyle w:val="Bibliography"/>
      </w:pPr>
      <w:r>
        <w:t xml:space="preserve">69.</w:t>
      </w:r>
      <w:r>
        <w:t xml:space="preserve"> </w:t>
      </w:r>
      <w:r>
        <w:t xml:space="preserve">	</w:t>
      </w:r>
      <w:r>
        <w:t xml:space="preserve">Montet-White, A.</w:t>
      </w:r>
      <w:r>
        <w:t xml:space="preserve"> </w:t>
      </w:r>
      <w:hyperlink r:id="rId180">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rPr>
          <w:bCs/>
          <w:b/>
        </w:rPr>
        <w:t xml:space="preserve">23</w:t>
      </w:r>
      <w:r>
        <w:t xml:space="preserve">, 483–508 (1994).</w:t>
      </w:r>
    </w:p>
    <w:bookmarkEnd w:id="181"/>
    <w:bookmarkStart w:id="183" w:name="ref-Frerebeau_2025"/>
    <w:p>
      <w:pPr>
        <w:pStyle w:val="Bibliography"/>
      </w:pPr>
      <w:r>
        <w:t xml:space="preserve">70.</w:t>
      </w:r>
      <w:r>
        <w:t xml:space="preserve"> </w:t>
      </w:r>
      <w:r>
        <w:t xml:space="preserve">	</w:t>
      </w:r>
      <w:r>
        <w:t xml:space="preserve">Frerebeau, N. Tabula: Analysis and visualization of archaeological count data. Zenodo</w:t>
      </w:r>
      <w:r>
        <w:t xml:space="preserve"> </w:t>
      </w:r>
      <w:hyperlink r:id="rId182">
        <w:r>
          <w:rPr>
            <w:rStyle w:val="Hyperlink"/>
          </w:rPr>
          <w:t xml:space="preserve">https://doi.org/10.5281/zenodo.15397990</w:t>
        </w:r>
      </w:hyperlink>
      <w:r>
        <w:t xml:space="preserve"> </w:t>
      </w:r>
      <w:r>
        <w:t xml:space="preserve">(2025).</w:t>
      </w:r>
    </w:p>
    <w:bookmarkEnd w:id="183"/>
    <w:bookmarkStart w:id="185" w:name="ref-Kintigh_1984"/>
    <w:p>
      <w:pPr>
        <w:pStyle w:val="Bibliography"/>
      </w:pPr>
      <w:r>
        <w:t xml:space="preserve">71.</w:t>
      </w:r>
      <w:r>
        <w:t xml:space="preserve"> </w:t>
      </w:r>
      <w:r>
        <w:t xml:space="preserve">	</w:t>
      </w:r>
      <w:r>
        <w:t xml:space="preserve">Kintigh, K. W.</w:t>
      </w:r>
      <w:r>
        <w:t xml:space="preserve"> </w:t>
      </w:r>
      <w:hyperlink r:id="rId184">
        <w:r>
          <w:rPr>
            <w:rStyle w:val="Hyperlink"/>
          </w:rPr>
          <w:t xml:space="preserve">Measuring archaeological diversity by comparison with simulated assemblages</w:t>
        </w:r>
      </w:hyperlink>
      <w:r>
        <w:t xml:space="preserve">.</w:t>
      </w:r>
      <w:r>
        <w:t xml:space="preserve"> </w:t>
      </w:r>
      <w:r>
        <w:rPr>
          <w:iCs/>
          <w:i/>
        </w:rPr>
        <w:t xml:space="preserve">American Antiquity</w:t>
      </w:r>
      <w:r>
        <w:t xml:space="preserve"> </w:t>
      </w:r>
      <w:r>
        <w:rPr>
          <w:bCs/>
          <w:b/>
        </w:rPr>
        <w:t xml:space="preserve">49</w:t>
      </w:r>
      <w:r>
        <w:t xml:space="preserve">, 44–54 (1984).</w:t>
      </w:r>
    </w:p>
    <w:bookmarkEnd w:id="185"/>
    <w:bookmarkStart w:id="187" w:name="X8c17deb08b87fbfa26556dda630532ff62c8bd1"/>
    <w:p>
      <w:pPr>
        <w:pStyle w:val="Bibliography"/>
      </w:pPr>
      <w:r>
        <w:t xml:space="preserve">72.</w:t>
      </w:r>
      <w:r>
        <w:t xml:space="preserve"> </w:t>
      </w:r>
      <w:r>
        <w:t xml:space="preserve">	</w:t>
      </w:r>
      <w:r>
        <w:t xml:space="preserve">Shao, Y., Wegener, C., Klein, K., Schmidt, I. &amp; Weniger, G.-C.</w:t>
      </w:r>
      <w:r>
        <w:t xml:space="preserve"> </w:t>
      </w:r>
      <w:hyperlink r:id="rId186">
        <w:r>
          <w:rPr>
            <w:rStyle w:val="Hyperlink"/>
          </w:rPr>
          <w:t xml:space="preserve">Reconstruction of human dispersal during aurignacian on pan-european scale</w:t>
        </w:r>
      </w:hyperlink>
      <w:r>
        <w:t xml:space="preserve">.</w:t>
      </w:r>
      <w:r>
        <w:t xml:space="preserve"> </w:t>
      </w:r>
      <w:r>
        <w:rPr>
          <w:iCs/>
          <w:i/>
        </w:rPr>
        <w:t xml:space="preserve">Nature Communications</w:t>
      </w:r>
      <w:r>
        <w:t xml:space="preserve"> </w:t>
      </w:r>
      <w:r>
        <w:rPr>
          <w:bCs/>
          <w:b/>
        </w:rPr>
        <w:t xml:space="preserve">15</w:t>
      </w:r>
      <w:r>
        <w:t xml:space="preserve">, 7406 (2024).</w:t>
      </w:r>
    </w:p>
    <w:bookmarkEnd w:id="187"/>
    <w:bookmarkStart w:id="189" w:name="ref-smith1992Design"/>
    <w:p>
      <w:pPr>
        <w:pStyle w:val="Bibliography"/>
      </w:pPr>
      <w:r>
        <w:t xml:space="preserve">73.</w:t>
      </w:r>
      <w:r>
        <w:t xml:space="preserve"> </w:t>
      </w:r>
      <w:r>
        <w:t xml:space="preserve">	</w:t>
      </w:r>
      <w:r>
        <w:t xml:space="preserve">Smith, C.</w:t>
      </w:r>
      <w:r>
        <w:t xml:space="preserve"> </w:t>
      </w:r>
      <w:hyperlink r:id="rId188">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 </w:t>
      </w:r>
      <w:r>
        <w:t xml:space="preserve">51–51 (1992).</w:t>
      </w:r>
    </w:p>
    <w:bookmarkEnd w:id="189"/>
    <w:bookmarkStart w:id="190" w:name="ref-hays1993symbol"/>
    <w:p>
      <w:pPr>
        <w:pStyle w:val="Bibliography"/>
      </w:pPr>
      <w:r>
        <w:t xml:space="preserve">74.</w:t>
      </w:r>
      <w:r>
        <w:t xml:space="preserve"> </w:t>
      </w:r>
      <w:r>
        <w:t xml:space="preserve">	</w:t>
      </w:r>
      <w:r>
        <w:t xml:space="preserve">Hays, K. A. When is a symbol archaeologically meaningful? Meaning, function, and prehistoric visual arts.</w:t>
      </w:r>
      <w:r>
        <w:t xml:space="preserve"> </w:t>
      </w:r>
      <w:r>
        <w:rPr>
          <w:iCs/>
          <w:i/>
        </w:rPr>
        <w:t xml:space="preserve">Archaeological theory: who sets the agenda</w:t>
      </w:r>
      <w:r>
        <w:t xml:space="preserve"> </w:t>
      </w:r>
      <w:r>
        <w:t xml:space="preserve">81–92 (1993).</w:t>
      </w:r>
    </w:p>
    <w:bookmarkEnd w:id="190"/>
    <w:bookmarkStart w:id="191" w:name="ref-McDonald_Veth_Lilley_2006"/>
    <w:p>
      <w:pPr>
        <w:pStyle w:val="Bibliography"/>
      </w:pPr>
      <w:r>
        <w:t xml:space="preserve">75.</w:t>
      </w:r>
      <w:r>
        <w:t xml:space="preserve"> </w:t>
      </w:r>
      <w:r>
        <w:t xml:space="preserve">	</w:t>
      </w:r>
      <w:r>
        <w:t xml:space="preserve">McDonald, J., Veth, P. &amp; Lilley, I. Rock art and social identity: A comparison of holocene graphic systems in arid and fertile environments. in</w:t>
      </w:r>
      <w:r>
        <w:t xml:space="preserve"> </w:t>
      </w:r>
      <w:r>
        <w:rPr>
          <w:iCs/>
          <w:i/>
        </w:rPr>
        <w:t xml:space="preserve">Archaeology of oceania: Australia and the pacific islands</w:t>
      </w:r>
      <w:r>
        <w:t xml:space="preserve"> </w:t>
      </w:r>
      <w:r>
        <w:t xml:space="preserve">96–115 (Blackwell Publishing, Malden, Mass, 2006).</w:t>
      </w:r>
    </w:p>
    <w:bookmarkEnd w:id="191"/>
    <w:bookmarkStart w:id="193" w:name="ref-Lourandos_1985"/>
    <w:p>
      <w:pPr>
        <w:pStyle w:val="Bibliography"/>
      </w:pPr>
      <w:r>
        <w:t xml:space="preserve">76.</w:t>
      </w:r>
      <w:r>
        <w:t xml:space="preserve"> </w:t>
      </w:r>
      <w:r>
        <w:t xml:space="preserve">	</w:t>
      </w:r>
      <w:r>
        <w:t xml:space="preserve">Lourandos, H. 15 - intensification and australian prehistory. in</w:t>
      </w:r>
      <w:r>
        <w:t xml:space="preserve"> </w:t>
      </w:r>
      <w:r>
        <w:rPr>
          <w:iCs/>
          <w:i/>
        </w:rPr>
        <w:t xml:space="preserve">Prehistoric hunters-gatherers</w:t>
      </w:r>
      <w:r>
        <w:t xml:space="preserve"> </w:t>
      </w:r>
      <w:r>
        <w:t xml:space="preserve">(eds. Price, T. D. &amp; Brown, J. A.) 385–423 (Academic Press, 1985). doi:</w:t>
      </w:r>
      <w:hyperlink r:id="rId192">
        <w:r>
          <w:rPr>
            <w:rStyle w:val="Hyperlink"/>
          </w:rPr>
          <w:t xml:space="preserve">https://doi.org/10.1016/B978-0-12-564750-2.50020-2</w:t>
        </w:r>
      </w:hyperlink>
      <w:r>
        <w:t xml:space="preserve">.</w:t>
      </w:r>
    </w:p>
    <w:bookmarkEnd w:id="193"/>
    <w:bookmarkStart w:id="195" w:name="ref-barton_clark_cohen1994"/>
    <w:p>
      <w:pPr>
        <w:pStyle w:val="Bibliography"/>
      </w:pPr>
      <w:r>
        <w:t xml:space="preserve">77.</w:t>
      </w:r>
      <w:r>
        <w:t xml:space="preserve"> </w:t>
      </w:r>
      <w:r>
        <w:t xml:space="preserve">	</w:t>
      </w:r>
      <w:r>
        <w:t xml:space="preserve">Barton, C. M., Clark, G. A. &amp; Cohen, A. E.</w:t>
      </w:r>
      <w:r>
        <w:t xml:space="preserve"> </w:t>
      </w:r>
      <w:hyperlink r:id="rId194">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rPr>
          <w:bCs/>
          <w:b/>
        </w:rPr>
        <w:t xml:space="preserve">26</w:t>
      </w:r>
      <w:r>
        <w:t xml:space="preserve">, 185–207 (1994).</w:t>
      </w:r>
    </w:p>
    <w:bookmarkEnd w:id="195"/>
    <w:bookmarkStart w:id="196" w:name="ref-mcdonald2012social"/>
    <w:p>
      <w:pPr>
        <w:pStyle w:val="Bibliography"/>
      </w:pPr>
      <w:r>
        <w:t xml:space="preserve">78.</w:t>
      </w:r>
      <w:r>
        <w:t xml:space="preserve"> </w:t>
      </w:r>
      <w:r>
        <w:t xml:space="preserve">	</w:t>
      </w:r>
      <w:r>
        <w:t xml:space="preserve">McDonald, J. &amp; Veth, P. The social dynamics of aggregation and dispersal in the western desert.</w:t>
      </w:r>
      <w:r>
        <w:t xml:space="preserve"> </w:t>
      </w:r>
      <w:r>
        <w:rPr>
          <w:iCs/>
          <w:i/>
        </w:rPr>
        <w:t xml:space="preserve">A companion to rock art</w:t>
      </w:r>
      <w:r>
        <w:t xml:space="preserve"> </w:t>
      </w:r>
      <w:r>
        <w:t xml:space="preserve">90–102 (2012).</w:t>
      </w:r>
    </w:p>
    <w:bookmarkEnd w:id="196"/>
    <w:bookmarkStart w:id="197" w:name="ref-bernardini2005reconsidering"/>
    <w:p>
      <w:pPr>
        <w:pStyle w:val="Bibliography"/>
      </w:pPr>
      <w:r>
        <w:t xml:space="preserve">79.</w:t>
      </w:r>
      <w:r>
        <w:t xml:space="preserve"> </w:t>
      </w:r>
      <w:r>
        <w:t xml:space="preserve">	</w:t>
      </w:r>
      <w:r>
        <w:t xml:space="preserve">Bernardini, W. Reconsidering spatial and temporal aspects of prehistoric cultural identity: A case study from the american southwest.</w:t>
      </w:r>
      <w:r>
        <w:t xml:space="preserve"> </w:t>
      </w:r>
      <w:r>
        <w:rPr>
          <w:iCs/>
          <w:i/>
        </w:rPr>
        <w:t xml:space="preserve">American Antiquity</w:t>
      </w:r>
      <w:r>
        <w:t xml:space="preserve"> </w:t>
      </w:r>
      <w:r>
        <w:rPr>
          <w:bCs/>
          <w:b/>
        </w:rPr>
        <w:t xml:space="preserve">70</w:t>
      </w:r>
      <w:r>
        <w:t xml:space="preserve">, 31–54 (2005).</w:t>
      </w:r>
    </w:p>
    <w:bookmarkEnd w:id="197"/>
    <w:bookmarkStart w:id="198" w:name="ref-wiessner1984reconsidering"/>
    <w:p>
      <w:pPr>
        <w:pStyle w:val="Bibliography"/>
      </w:pPr>
      <w:r>
        <w:t xml:space="preserve">80.</w:t>
      </w:r>
      <w:r>
        <w:t xml:space="preserve"> </w:t>
      </w:r>
      <w:r>
        <w:t xml:space="preserve">	</w:t>
      </w:r>
      <w:r>
        <w:t xml:space="preserve">Wiessner, P. Reconsidering the behavioral basis for style: A case study among the kalahari san.</w:t>
      </w:r>
      <w:r>
        <w:t xml:space="preserve"> </w:t>
      </w:r>
      <w:r>
        <w:rPr>
          <w:iCs/>
          <w:i/>
        </w:rPr>
        <w:t xml:space="preserve">Journal of anthropological archaeology</w:t>
      </w:r>
      <w:r>
        <w:t xml:space="preserve"> </w:t>
      </w:r>
      <w:r>
        <w:rPr>
          <w:bCs/>
          <w:b/>
        </w:rPr>
        <w:t xml:space="preserve">3</w:t>
      </w:r>
      <w:r>
        <w:t xml:space="preserve">, 190–234 (1984).</w:t>
      </w:r>
    </w:p>
    <w:bookmarkEnd w:id="198"/>
    <w:bookmarkStart w:id="200" w:name="ref-smith1992"/>
    <w:p>
      <w:pPr>
        <w:pStyle w:val="Bibliography"/>
      </w:pPr>
      <w:r>
        <w:t xml:space="preserve">81.</w:t>
      </w:r>
      <w:r>
        <w:t xml:space="preserve"> </w:t>
      </w:r>
      <w:r>
        <w:t xml:space="preserve">	</w:t>
      </w:r>
      <w:r>
        <w:t xml:space="preserve">Smith, C.</w:t>
      </w:r>
      <w:r>
        <w:t xml:space="preserve"> </w:t>
      </w:r>
      <w:hyperlink r:id="rId199">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 </w:t>
      </w:r>
      <w:r>
        <w:t xml:space="preserve">34–42 (1992).</w:t>
      </w:r>
    </w:p>
    <w:bookmarkEnd w:id="200"/>
    <w:bookmarkStart w:id="202" w:name="ref-Horiuchi_Takakura_2019"/>
    <w:p>
      <w:pPr>
        <w:pStyle w:val="Bibliography"/>
      </w:pPr>
      <w:r>
        <w:t xml:space="preserve">82.</w:t>
      </w:r>
      <w:r>
        <w:t xml:space="preserve"> </w:t>
      </w:r>
      <w:r>
        <w:t xml:space="preserve">	</w:t>
      </w:r>
      <w:r>
        <w:t xml:space="preserve">Horiuchi, S. &amp; Takakura, J. Modeling learning strategies and the expansion of the social network in the beginning of upper palaeolithic europe: Analysis by agent-based simulation. in</w:t>
      </w:r>
      <w:r>
        <w:t xml:space="preserve"> </w:t>
      </w:r>
      <w:r>
        <w:rPr>
          <w:iCs/>
          <w:i/>
        </w:rPr>
        <w:t xml:space="preserve">Learning among neanderthals and palaeolithic modern humans: Archaeological evidence</w:t>
      </w:r>
      <w:r>
        <w:t xml:space="preserve"> </w:t>
      </w:r>
      <w:r>
        <w:t xml:space="preserve">(eds. Nishiaki, Y. &amp; Jöris, O.) 179–191 (Springer Nature Singapore, 2019). doi:</w:t>
      </w:r>
      <w:hyperlink r:id="rId201">
        <w:r>
          <w:rPr>
            <w:rStyle w:val="Hyperlink"/>
          </w:rPr>
          <w:t xml:space="preserve">10.1007/978-981-13-8980-1_12</w:t>
        </w:r>
      </w:hyperlink>
      <w:r>
        <w:t xml:space="preserve">.</w:t>
      </w:r>
    </w:p>
    <w:bookmarkEnd w:id="202"/>
    <w:bookmarkStart w:id="203" w:name="ref-Rogers_2013"/>
    <w:p>
      <w:pPr>
        <w:pStyle w:val="Bibliography"/>
      </w:pPr>
      <w:r>
        <w:t xml:space="preserve">83.</w:t>
      </w:r>
      <w:r>
        <w:t xml:space="preserve"> </w:t>
      </w:r>
      <w:r>
        <w:t xml:space="preserve">	</w:t>
      </w:r>
      <w:r>
        <w:t xml:space="preserve">Rogers, L. Human-material interaction in the aurignacian of europe, 35,000-27,000 BP: An analysis of marine shell ornament distribution. (University of Victoria, 2013).</w:t>
      </w:r>
    </w:p>
    <w:bookmarkEnd w:id="203"/>
    <w:bookmarkStart w:id="205" w:name="X94f875be1b7e5d23641daff5d53857bec24e739"/>
    <w:p>
      <w:pPr>
        <w:pStyle w:val="Bibliography"/>
      </w:pPr>
      <w:r>
        <w:t xml:space="preserve">84.</w:t>
      </w:r>
      <w:r>
        <w:t xml:space="preserve"> </w:t>
      </w:r>
      <w:r>
        <w:t xml:space="preserve">	</w:t>
      </w:r>
      <w:r>
        <w:t xml:space="preserve">Golovanova, L. V., Doronichev, V. B., Doronicheva, E. V., Sapega, V. F. &amp; Shackley, M. S.</w:t>
      </w:r>
      <w:r>
        <w:t xml:space="preserve"> </w:t>
      </w:r>
      <w:hyperlink r:id="rId204">
        <w:r>
          <w:rPr>
            <w:rStyle w:val="Hyperlink"/>
          </w:rPr>
          <w:t xml:space="preserve">Long-distance contacts and social networks of the upper palaeolithic humans in the north-western caucasus (on data from mezmaiskaya cave, russia)</w:t>
        </w:r>
      </w:hyperlink>
      <w:r>
        <w:t xml:space="preserve">.</w:t>
      </w:r>
      <w:r>
        <w:t xml:space="preserve"> </w:t>
      </w:r>
      <w:r>
        <w:rPr>
          <w:iCs/>
          <w:i/>
        </w:rPr>
        <w:t xml:space="preserve">Journal of Archaeological Science: Reports</w:t>
      </w:r>
      <w:r>
        <w:t xml:space="preserve"> </w:t>
      </w:r>
      <w:r>
        <w:rPr>
          <w:bCs/>
          <w:b/>
        </w:rPr>
        <w:t xml:space="preserve">39</w:t>
      </w:r>
      <w:r>
        <w:t xml:space="preserve">, 103118 (2021).</w:t>
      </w:r>
    </w:p>
    <w:bookmarkEnd w:id="205"/>
    <w:bookmarkStart w:id="207" w:name="ref-Gamble_1982"/>
    <w:p>
      <w:pPr>
        <w:pStyle w:val="Bibliography"/>
      </w:pPr>
      <w:r>
        <w:t xml:space="preserve">85.</w:t>
      </w:r>
      <w:r>
        <w:t xml:space="preserve"> </w:t>
      </w:r>
      <w:r>
        <w:t xml:space="preserve">	</w:t>
      </w:r>
      <w:r>
        <w:t xml:space="preserve">Gamble, C.</w:t>
      </w:r>
      <w:r>
        <w:t xml:space="preserve"> </w:t>
      </w:r>
      <w:hyperlink r:id="rId206">
        <w:r>
          <w:rPr>
            <w:rStyle w:val="Hyperlink"/>
          </w:rPr>
          <w:t xml:space="preserve">Interaction and alliance in palaeolithic society</w:t>
        </w:r>
      </w:hyperlink>
      <w:r>
        <w:t xml:space="preserve">.</w:t>
      </w:r>
      <w:r>
        <w:t xml:space="preserve"> </w:t>
      </w:r>
      <w:r>
        <w:rPr>
          <w:iCs/>
          <w:i/>
        </w:rPr>
        <w:t xml:space="preserve">Man</w:t>
      </w:r>
      <w:r>
        <w:t xml:space="preserve"> </w:t>
      </w:r>
      <w:r>
        <w:rPr>
          <w:bCs/>
          <w:b/>
        </w:rPr>
        <w:t xml:space="preserve">17</w:t>
      </w:r>
      <w:r>
        <w:t xml:space="preserve">, 92–107 (1982).</w:t>
      </w:r>
    </w:p>
    <w:bookmarkEnd w:id="207"/>
    <w:bookmarkStart w:id="209" w:name="Xba346573845225b1b1d5ef358e2fea0d893a789"/>
    <w:p>
      <w:pPr>
        <w:pStyle w:val="Bibliography"/>
      </w:pPr>
      <w:r>
        <w:t xml:space="preserve">86.</w:t>
      </w:r>
      <w:r>
        <w:t xml:space="preserve"> </w:t>
      </w:r>
      <w:r>
        <w:t xml:space="preserve">	</w:t>
      </w:r>
      <w:r>
        <w:t xml:space="preserve">Greenbaum, G., Friesem, D. E., Hovers, E., Feldman, M. W. &amp; Kolodny, O.</w:t>
      </w:r>
      <w:r>
        <w:t xml:space="preserve"> </w:t>
      </w:r>
      <w:hyperlink r:id="rId208">
        <w:r>
          <w:rPr>
            <w:rStyle w:val="Hyperlink"/>
          </w:rPr>
          <w:t xml:space="preserve">Was inter-population connectivity of neanderthals and modern humans the driver of the upper paleolithic transition rather than its product?</w:t>
        </w:r>
      </w:hyperlink>
      <w:r>
        <w:t xml:space="preserve"> </w:t>
      </w:r>
      <w:r>
        <w:rPr>
          <w:iCs/>
          <w:i/>
        </w:rPr>
        <w:t xml:space="preserve">Quaternary Science Reviews</w:t>
      </w:r>
      <w:r>
        <w:t xml:space="preserve"> </w:t>
      </w:r>
      <w:r>
        <w:rPr>
          <w:bCs/>
          <w:b/>
        </w:rPr>
        <w:t xml:space="preserve">217</w:t>
      </w:r>
      <w:r>
        <w:t xml:space="preserve">, 316–329 (2019).</w:t>
      </w:r>
    </w:p>
    <w:bookmarkEnd w:id="209"/>
    <w:bookmarkStart w:id="211" w:name="ref-Creanza_Kolodny_Feldman_2017"/>
    <w:p>
      <w:pPr>
        <w:pStyle w:val="Bibliography"/>
      </w:pPr>
      <w:r>
        <w:t xml:space="preserve">87.</w:t>
      </w:r>
      <w:r>
        <w:t xml:space="preserve"> </w:t>
      </w:r>
      <w:r>
        <w:t xml:space="preserve">	</w:t>
      </w:r>
      <w:r>
        <w:t xml:space="preserve">Creanza, N., Kolodny, O. &amp; Feldman, M. W.</w:t>
      </w:r>
      <w:r>
        <w:t xml:space="preserve"> </w:t>
      </w:r>
      <w:hyperlink r:id="rId210">
        <w:r>
          <w:rPr>
            <w:rStyle w:val="Hyperlink"/>
          </w:rPr>
          <w:t xml:space="preserve">Greater than the sum of its parts? Modelling population contact and interaction of cultural repertoires</w:t>
        </w:r>
      </w:hyperlink>
      <w:r>
        <w:t xml:space="preserve">.</w:t>
      </w:r>
      <w:r>
        <w:t xml:space="preserve"> </w:t>
      </w:r>
      <w:r>
        <w:rPr>
          <w:iCs/>
          <w:i/>
        </w:rPr>
        <w:t xml:space="preserve">Journal of The Royal Society Interface</w:t>
      </w:r>
      <w:r>
        <w:t xml:space="preserve"> </w:t>
      </w:r>
      <w:r>
        <w:rPr>
          <w:bCs/>
          <w:b/>
        </w:rPr>
        <w:t xml:space="preserve">14</w:t>
      </w:r>
      <w:r>
        <w:t xml:space="preserve">, 20170171 (2017).</w:t>
      </w:r>
    </w:p>
    <w:bookmarkEnd w:id="211"/>
    <w:bookmarkStart w:id="213" w:name="ref-Cullen_1996"/>
    <w:p>
      <w:pPr>
        <w:pStyle w:val="Bibliography"/>
      </w:pPr>
      <w:r>
        <w:t xml:space="preserve">88.</w:t>
      </w:r>
      <w:r>
        <w:t xml:space="preserve"> </w:t>
      </w:r>
      <w:r>
        <w:t xml:space="preserve">	</w:t>
      </w:r>
      <w:r>
        <w:t xml:space="preserve">Cullen, B. R. S. Cultural virus theory and the eusocial pottery assemblage. in</w:t>
      </w:r>
      <w:r>
        <w:t xml:space="preserve"> </w:t>
      </w:r>
      <w:r>
        <w:rPr>
          <w:iCs/>
          <w:i/>
        </w:rPr>
        <w:t xml:space="preserve">Darwinian archaeologies</w:t>
      </w:r>
      <w:r>
        <w:t xml:space="preserve"> </w:t>
      </w:r>
      <w:r>
        <w:t xml:space="preserve">(ed. Maschner, H. D. G.) 43–59 (Springer US, Boston, MA, 1996). doi:</w:t>
      </w:r>
      <w:hyperlink r:id="rId212">
        <w:r>
          <w:rPr>
            <w:rStyle w:val="Hyperlink"/>
          </w:rPr>
          <w:t xml:space="preserve">10.1007/978-1-4757-9945-3_4</w:t>
        </w:r>
      </w:hyperlink>
      <w:r>
        <w:t xml:space="preserve">.</w:t>
      </w:r>
    </w:p>
    <w:bookmarkEnd w:id="213"/>
    <w:bookmarkStart w:id="215" w:name="ref-Hill_Wood_Baggio_Hurtado_Boyd_2014"/>
    <w:p>
      <w:pPr>
        <w:pStyle w:val="Bibliography"/>
      </w:pPr>
      <w:r>
        <w:t xml:space="preserve">89.</w:t>
      </w:r>
      <w:r>
        <w:t xml:space="preserve"> </w:t>
      </w:r>
      <w:r>
        <w:t xml:space="preserve">	</w:t>
      </w:r>
      <w:r>
        <w:t xml:space="preserve">Hill, K. R., Wood, B. M., Baggio, J., Hurtado, A. M. &amp; Boyd, R. T.</w:t>
      </w:r>
      <w:r>
        <w:t xml:space="preserve"> </w:t>
      </w:r>
      <w:hyperlink r:id="rId214">
        <w:r>
          <w:rPr>
            <w:rStyle w:val="Hyperlink"/>
          </w:rPr>
          <w:t xml:space="preserve">Hunter-gatherer inter-band interaction rates: Implications for cumulative culture</w:t>
        </w:r>
      </w:hyperlink>
      <w:r>
        <w:t xml:space="preserve">.</w:t>
      </w:r>
      <w:r>
        <w:t xml:space="preserve"> </w:t>
      </w:r>
      <w:r>
        <w:rPr>
          <w:iCs/>
          <w:i/>
        </w:rPr>
        <w:t xml:space="preserve">PLOS ONE</w:t>
      </w:r>
      <w:r>
        <w:t xml:space="preserve"> </w:t>
      </w:r>
      <w:r>
        <w:rPr>
          <w:bCs/>
          <w:b/>
        </w:rPr>
        <w:t xml:space="preserve">9</w:t>
      </w:r>
      <w:r>
        <w:t xml:space="preserve">, 1–9 (2014).</w:t>
      </w:r>
    </w:p>
    <w:bookmarkEnd w:id="215"/>
    <w:bookmarkStart w:id="217" w:name="ref-Derex_Boyd_2016"/>
    <w:p>
      <w:pPr>
        <w:pStyle w:val="Bibliography"/>
      </w:pPr>
      <w:r>
        <w:t xml:space="preserve">90.</w:t>
      </w:r>
      <w:r>
        <w:t xml:space="preserve"> </w:t>
      </w:r>
      <w:r>
        <w:t xml:space="preserve">	</w:t>
      </w:r>
      <w:r>
        <w:t xml:space="preserve">Derex, M. &amp; Boyd, R.</w:t>
      </w:r>
      <w:r>
        <w:t xml:space="preserve"> </w:t>
      </w:r>
      <w:hyperlink r:id="rId216">
        <w:r>
          <w:rPr>
            <w:rStyle w:val="Hyperlink"/>
          </w:rPr>
          <w:t xml:space="preserve">Partial connectivity increases cultural accumulation within groups</w:t>
        </w:r>
      </w:hyperlink>
      <w:r>
        <w:t xml:space="preserve">.</w:t>
      </w:r>
      <w:r>
        <w:t xml:space="preserve"> </w:t>
      </w:r>
      <w:r>
        <w:rPr>
          <w:iCs/>
          <w:i/>
        </w:rPr>
        <w:t xml:space="preserve">Proceedings of the National Academy of Sciences</w:t>
      </w:r>
      <w:r>
        <w:t xml:space="preserve"> </w:t>
      </w:r>
      <w:r>
        <w:rPr>
          <w:bCs/>
          <w:b/>
        </w:rPr>
        <w:t xml:space="preserve">113</w:t>
      </w:r>
      <w:r>
        <w:t xml:space="preserve">, 2982–2987 (2016).</w:t>
      </w:r>
    </w:p>
    <w:bookmarkEnd w:id="217"/>
    <w:bookmarkStart w:id="219" w:name="ref-Foley_Gamble_2009"/>
    <w:p>
      <w:pPr>
        <w:pStyle w:val="Bibliography"/>
      </w:pPr>
      <w:r>
        <w:t xml:space="preserve">91.</w:t>
      </w:r>
      <w:r>
        <w:t xml:space="preserve"> </w:t>
      </w:r>
      <w:r>
        <w:t xml:space="preserve">	</w:t>
      </w:r>
      <w:r>
        <w:t xml:space="preserve">Foley, R. &amp; Gamble, C.</w:t>
      </w:r>
      <w:r>
        <w:t xml:space="preserve"> </w:t>
      </w:r>
      <w:hyperlink r:id="rId218">
        <w:r>
          <w:rPr>
            <w:rStyle w:val="Hyperlink"/>
          </w:rPr>
          <w:t xml:space="preserve">The ecology of social transitions in human evolution</w:t>
        </w:r>
      </w:hyperlink>
      <w:r>
        <w:t xml:space="preserve">.</w:t>
      </w:r>
      <w:r>
        <w:t xml:space="preserve"> </w:t>
      </w:r>
      <w:r>
        <w:rPr>
          <w:iCs/>
          <w:i/>
        </w:rPr>
        <w:t xml:space="preserve">Philosophical Transactions of the Royal Society B: Biological Sciences</w:t>
      </w:r>
      <w:r>
        <w:t xml:space="preserve"> </w:t>
      </w:r>
      <w:r>
        <w:rPr>
          <w:bCs/>
          <w:b/>
        </w:rPr>
        <w:t xml:space="preserve">364</w:t>
      </w:r>
      <w:r>
        <w:t xml:space="preserve">, 3267–3279 (2009).</w:t>
      </w:r>
    </w:p>
    <w:bookmarkEnd w:id="219"/>
    <w:bookmarkStart w:id="221" w:name="ref-Gravel-Miguel_Coward_2023"/>
    <w:p>
      <w:pPr>
        <w:pStyle w:val="Bibliography"/>
      </w:pPr>
      <w:r>
        <w:t xml:space="preserve">92.</w:t>
      </w:r>
      <w:r>
        <w:t xml:space="preserve"> </w:t>
      </w:r>
      <w:r>
        <w:t xml:space="preserve">	</w:t>
      </w:r>
      <w:r>
        <w:t xml:space="preserve">Gravel-Miguel, C. &amp; Coward, F. Paleolithic social networks and behavioral modernity. in</w:t>
      </w:r>
      <w:r>
        <w:t xml:space="preserve"> </w:t>
      </w:r>
      <w:r>
        <w:rPr>
          <w:iCs/>
          <w:i/>
        </w:rPr>
        <w:t xml:space="preserve">The oxford handbook of archaeological network research</w:t>
      </w:r>
      <w:r>
        <w:t xml:space="preserve"> </w:t>
      </w:r>
      <w:r>
        <w:t xml:space="preserve">(Oxford University Press, 2023). doi:</w:t>
      </w:r>
      <w:hyperlink r:id="rId220">
        <w:r>
          <w:rPr>
            <w:rStyle w:val="Hyperlink"/>
          </w:rPr>
          <w:t xml:space="preserve">10.1093/oxfordhb/9780198854265.013.31</w:t>
        </w:r>
      </w:hyperlink>
      <w:r>
        <w:t xml:space="preserve">.</w:t>
      </w:r>
    </w:p>
    <w:bookmarkEnd w:id="221"/>
    <w:bookmarkStart w:id="222" w:name="ref-Von_Petzinger_2009"/>
    <w:p>
      <w:pPr>
        <w:pStyle w:val="Bibliography"/>
      </w:pPr>
      <w:r>
        <w:t xml:space="preserve">93.</w:t>
      </w:r>
      <w:r>
        <w:t xml:space="preserve"> </w:t>
      </w:r>
      <w:r>
        <w:t xml:space="preserve">	</w:t>
      </w:r>
      <w:r>
        <w:t xml:space="preserve">Von Petzinger, G. Making the abstract concrete: The place of geometric signs in french upper paleolithic parietal art. (University of Victoria, 2009).</w:t>
      </w:r>
    </w:p>
    <w:bookmarkEnd w:id="222"/>
    <w:bookmarkEnd w:id="223"/>
    <w:bookmarkEnd w:id="2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6"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7"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2" Target="https://doi.org/10.1007/978-1-4757-9945-3_4" TargetMode="External" /><Relationship Type="http://schemas.openxmlformats.org/officeDocument/2006/relationships/hyperlink" Id="rId75" Target="https://doi.org/10.1007/978-3-319-51726-1_3441-1" TargetMode="External" /><Relationship Type="http://schemas.openxmlformats.org/officeDocument/2006/relationships/hyperlink" Id="rId201"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5"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5" Target="https://doi.org/10.1016/j.jas.2005.11.017" TargetMode="External" /><Relationship Type="http://schemas.openxmlformats.org/officeDocument/2006/relationships/hyperlink" Id="rId71" Target="https://doi.org/10.1016/j.jas.2012.02.003" TargetMode="External" /><Relationship Type="http://schemas.openxmlformats.org/officeDocument/2006/relationships/hyperlink" Id="rId69" Target="https://doi.org/10.1016/j.jas.2015.05.003" TargetMode="External" /><Relationship Type="http://schemas.openxmlformats.org/officeDocument/2006/relationships/hyperlink" Id="rId204"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79"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1" Target="https://doi.org/10.1016/j.quaint.2017.01.039" TargetMode="External" /><Relationship Type="http://schemas.openxmlformats.org/officeDocument/2006/relationships/hyperlink" Id="rId67" Target="https://doi.org/10.1016/j.quaint.2017.12.017" TargetMode="External" /><Relationship Type="http://schemas.openxmlformats.org/officeDocument/2006/relationships/hyperlink" Id="rId83" Target="https://doi.org/10.1016/j.quascirev.2009.11.015" TargetMode="External" /><Relationship Type="http://schemas.openxmlformats.org/officeDocument/2006/relationships/hyperlink" Id="rId208" Target="https://doi.org/10.1016/j.quascirev.2018.12.011" TargetMode="External" /><Relationship Type="http://schemas.openxmlformats.org/officeDocument/2006/relationships/hyperlink" Id="rId77"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1"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3" Target="https://doi.org/10.1038/s41597-020-00704-x" TargetMode="External" /><Relationship Type="http://schemas.openxmlformats.org/officeDocument/2006/relationships/hyperlink" Id="rId216"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0" Target="https://doi.org/10.1093/oxfordhb/9780198854265.013.31" TargetMode="External" /><Relationship Type="http://schemas.openxmlformats.org/officeDocument/2006/relationships/hyperlink" Id="rId210" Target="https://doi.org/10.1098/rsif.2017.0171" TargetMode="External" /><Relationship Type="http://schemas.openxmlformats.org/officeDocument/2006/relationships/hyperlink" Id="rId218"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99"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3"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4" Target="https://doi.org/10.1371/journal.pone.0102806" TargetMode="External" /><Relationship Type="http://schemas.openxmlformats.org/officeDocument/2006/relationships/hyperlink" Id="rId95"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8" Target="https://doi.org/10.1371/journal.pone.0323148" TargetMode="External" /><Relationship Type="http://schemas.openxmlformats.org/officeDocument/2006/relationships/hyperlink" Id="rId97" Target="https://doi.org/10.18637/jss.v025.i03" TargetMode="External" /><Relationship Type="http://schemas.openxmlformats.org/officeDocument/2006/relationships/hyperlink" Id="rId206"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89" Target="https://doi.org/10.32614/CRAN.package.vegan" TargetMode="External" /><Relationship Type="http://schemas.openxmlformats.org/officeDocument/2006/relationships/hyperlink" Id="rId93"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1"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20" Target="http://www.jstor.org.offcampus.lib.washington.edu/stable/j.ctt1pk86rr.16" TargetMode="External" /><Relationship Type="http://schemas.openxmlformats.org/officeDocument/2006/relationships/hyperlink" Id="rId114" Target="http://www.jstor.org.offcampus.lib.washington.edu/stable/j.ctt1pk86rr.5" TargetMode="External" /><Relationship Type="http://schemas.openxmlformats.org/officeDocument/2006/relationships/hyperlink" Id="rId194" Target="http://www.jstor.org/stable/124852" TargetMode="External" /><Relationship Type="http://schemas.openxmlformats.org/officeDocument/2006/relationships/hyperlink" Id="rId180" Target="http://www.jstor.org/stable/2156023" TargetMode="External" /><Relationship Type="http://schemas.openxmlformats.org/officeDocument/2006/relationships/hyperlink" Id="rId169" Target="http://www.jstor.org/stable/2741828" TargetMode="External" /><Relationship Type="http://schemas.openxmlformats.org/officeDocument/2006/relationships/hyperlink" Id="rId144" Target="http://www.jstor.org/stable/279544" TargetMode="External" /><Relationship Type="http://schemas.openxmlformats.org/officeDocument/2006/relationships/hyperlink" Id="rId146" Target="http://www.jstor.org/stable/2800797" TargetMode="External" /><Relationship Type="http://schemas.openxmlformats.org/officeDocument/2006/relationships/hyperlink" Id="rId199" Target="http://www.jstor.org/stable/40287092" TargetMode="External" /><Relationship Type="http://schemas.openxmlformats.org/officeDocument/2006/relationships/hyperlink" Id="rId188" Target="http://www.jstor.org/stable/40287096" TargetMode="External" /><Relationship Type="http://schemas.openxmlformats.org/officeDocument/2006/relationships/hyperlink" Id="rId56" Target="https://books.google.com/books?id=XmrazQEACAAJ" TargetMode="External" /><Relationship Type="http://schemas.openxmlformats.org/officeDocument/2006/relationships/hyperlink" Id="rId110" Target="https://doi.org/10.1002/9781118445112.stat07841" TargetMode="External" /><Relationship Type="http://schemas.openxmlformats.org/officeDocument/2006/relationships/hyperlink" Id="rId87" Target="https://doi.org/10.1002/ajpa.1330350608" TargetMode="External" /><Relationship Type="http://schemas.openxmlformats.org/officeDocument/2006/relationships/hyperlink" Id="rId13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212" Target="https://doi.org/10.1007/978-1-4757-9945-3_4" TargetMode="External" /><Relationship Type="http://schemas.openxmlformats.org/officeDocument/2006/relationships/hyperlink" Id="rId75" Target="https://doi.org/10.1007/978-3-319-51726-1_3441-1" TargetMode="External" /><Relationship Type="http://schemas.openxmlformats.org/officeDocument/2006/relationships/hyperlink" Id="rId201" Target="https://doi.org/10.1007/978-981-13-8980-1_12" TargetMode="External" /><Relationship Type="http://schemas.openxmlformats.org/officeDocument/2006/relationships/hyperlink" Id="rId123" Target="https://doi.org/10.1007/s10814-013-9068-y" TargetMode="External" /><Relationship Type="http://schemas.openxmlformats.org/officeDocument/2006/relationships/hyperlink" Id="rId85" Target="https://doi.org/10.1007/s12520-018-0742-3" TargetMode="External" /><Relationship Type="http://schemas.openxmlformats.org/officeDocument/2006/relationships/hyperlink" Id="rId118" Target="https://doi.org/10.1016/B978-0-12-564750-2.50006-8" TargetMode="External" /><Relationship Type="http://schemas.openxmlformats.org/officeDocument/2006/relationships/hyperlink" Id="rId139" Target="https://doi.org/10.1016/B978-0-12-564750-2.50016-0" TargetMode="External" /><Relationship Type="http://schemas.openxmlformats.org/officeDocument/2006/relationships/hyperlink" Id="rId192" Target="https://doi.org/10.1016/B978-0-12-564750-2.50020-2" TargetMode="External" /><Relationship Type="http://schemas.openxmlformats.org/officeDocument/2006/relationships/hyperlink" Id="rId112" Target="https://doi.org/10.1016/j.evolhumbehav.2014.09.006" TargetMode="External" /><Relationship Type="http://schemas.openxmlformats.org/officeDocument/2006/relationships/hyperlink" Id="rId125" Target="https://doi.org/10.1016/j.evolhumbehav.2022.07.003" TargetMode="External" /><Relationship Type="http://schemas.openxmlformats.org/officeDocument/2006/relationships/hyperlink" Id="rId152" Target="https://doi.org/10.1016/j.jaa.2005.11.004" TargetMode="External" /><Relationship Type="http://schemas.openxmlformats.org/officeDocument/2006/relationships/hyperlink" Id="rId174" Target="https://doi.org/10.1016/j.jaa.2013.05.005" TargetMode="External" /><Relationship Type="http://schemas.openxmlformats.org/officeDocument/2006/relationships/hyperlink" Id="rId65" Target="https://doi.org/10.1016/j.jas.2005.11.017" TargetMode="External" /><Relationship Type="http://schemas.openxmlformats.org/officeDocument/2006/relationships/hyperlink" Id="rId71" Target="https://doi.org/10.1016/j.jas.2012.02.003" TargetMode="External" /><Relationship Type="http://schemas.openxmlformats.org/officeDocument/2006/relationships/hyperlink" Id="rId69" Target="https://doi.org/10.1016/j.jas.2015.05.003" TargetMode="External" /><Relationship Type="http://schemas.openxmlformats.org/officeDocument/2006/relationships/hyperlink" Id="rId204" Target="https://doi.org/10.1016/j.jasrep.2021.103118" TargetMode="External" /><Relationship Type="http://schemas.openxmlformats.org/officeDocument/2006/relationships/hyperlink" Id="rId150" Target="https://doi.org/10.1016/j.jasrep.2024.104798" TargetMode="External" /><Relationship Type="http://schemas.openxmlformats.org/officeDocument/2006/relationships/hyperlink" Id="rId79" Target="https://doi.org/10.1016/j.jhevol.2012.10.001" TargetMode="External" /><Relationship Type="http://schemas.openxmlformats.org/officeDocument/2006/relationships/hyperlink" Id="rId127" Target="https://doi.org/10.1016/j.quaint.2012.03.054" TargetMode="External" /><Relationship Type="http://schemas.openxmlformats.org/officeDocument/2006/relationships/hyperlink" Id="rId61" Target="https://doi.org/10.1016/j.quaint.2017.01.039" TargetMode="External" /><Relationship Type="http://schemas.openxmlformats.org/officeDocument/2006/relationships/hyperlink" Id="rId67" Target="https://doi.org/10.1016/j.quaint.2017.12.017" TargetMode="External" /><Relationship Type="http://schemas.openxmlformats.org/officeDocument/2006/relationships/hyperlink" Id="rId83" Target="https://doi.org/10.1016/j.quascirev.2009.11.015" TargetMode="External" /><Relationship Type="http://schemas.openxmlformats.org/officeDocument/2006/relationships/hyperlink" Id="rId208" Target="https://doi.org/10.1016/j.quascirev.2018.12.011" TargetMode="External" /><Relationship Type="http://schemas.openxmlformats.org/officeDocument/2006/relationships/hyperlink" Id="rId77" Target="https://doi.org/10.1016/j.quascirev.2021.106995" TargetMode="External" /><Relationship Type="http://schemas.openxmlformats.org/officeDocument/2006/relationships/hyperlink" Id="rId142" Target="https://doi.org/10.1017/CBO9780511558252.004" TargetMode="External" /><Relationship Type="http://schemas.openxmlformats.org/officeDocument/2006/relationships/hyperlink" Id="rId91" Target="https://doi.org/10.1017/RDC.2020.95" TargetMode="External" /><Relationship Type="http://schemas.openxmlformats.org/officeDocument/2006/relationships/hyperlink" Id="rId129" Target="https://doi.org/10.1017/S0079497X00006265" TargetMode="External" /><Relationship Type="http://schemas.openxmlformats.org/officeDocument/2006/relationships/hyperlink" Id="rId186" Target="https://doi.org/10.1038/s41467-024-51349-y" TargetMode="External" /><Relationship Type="http://schemas.openxmlformats.org/officeDocument/2006/relationships/hyperlink" Id="rId73" Target="https://doi.org/10.1038/s41597-020-00704-x" TargetMode="External" /><Relationship Type="http://schemas.openxmlformats.org/officeDocument/2006/relationships/hyperlink" Id="rId216" Target="https://doi.org/10.1073/pnas.1518798113" TargetMode="External" /><Relationship Type="http://schemas.openxmlformats.org/officeDocument/2006/relationships/hyperlink" Id="rId171" Target="https://doi.org/10.1086/701523" TargetMode="External" /><Relationship Type="http://schemas.openxmlformats.org/officeDocument/2006/relationships/hyperlink" Id="rId220" Target="https://doi.org/10.1093/oxfordhb/9780198854265.013.31" TargetMode="External" /><Relationship Type="http://schemas.openxmlformats.org/officeDocument/2006/relationships/hyperlink" Id="rId210" Target="https://doi.org/10.1098/rsif.2017.0171" TargetMode="External" /><Relationship Type="http://schemas.openxmlformats.org/officeDocument/2006/relationships/hyperlink" Id="rId218" Target="https://doi.org/10.1098/rstb.2009.0136" TargetMode="External" /><Relationship Type="http://schemas.openxmlformats.org/officeDocument/2006/relationships/hyperlink" Id="rId159" Target="https://doi.org/10.1098/rstb.2020.0318" TargetMode="External" /><Relationship Type="http://schemas.openxmlformats.org/officeDocument/2006/relationships/hyperlink" Id="rId99" Target="https://doi.org/10.1111/j.1502-3931.1988.tb01756.x" TargetMode="External" /><Relationship Type="http://schemas.openxmlformats.org/officeDocument/2006/relationships/hyperlink" Id="rId161" Target="https://doi.org/10.1111/tops.12762" TargetMode="External" /><Relationship Type="http://schemas.openxmlformats.org/officeDocument/2006/relationships/hyperlink" Id="rId102" Target="https://doi.org/10.1146/annurev-anthro-102116-041423" TargetMode="External" /><Relationship Type="http://schemas.openxmlformats.org/officeDocument/2006/relationships/hyperlink" Id="rId63" Target="https://doi.org/10.1177/0392192107076870" TargetMode="External" /><Relationship Type="http://schemas.openxmlformats.org/officeDocument/2006/relationships/hyperlink" Id="rId134" Target="https://doi.org/10.1179/sea.2010.29.1.013" TargetMode="External" /><Relationship Type="http://schemas.openxmlformats.org/officeDocument/2006/relationships/hyperlink" Id="rId214" Target="https://doi.org/10.1371/journal.pone.0102806" TargetMode="External" /><Relationship Type="http://schemas.openxmlformats.org/officeDocument/2006/relationships/hyperlink" Id="rId95" Target="https://doi.org/10.1371/journal.pone.0121166" TargetMode="External" /><Relationship Type="http://schemas.openxmlformats.org/officeDocument/2006/relationships/hyperlink" Id="rId167" Target="https://doi.org/10.1371/journal.pone.0265329" TargetMode="External" /><Relationship Type="http://schemas.openxmlformats.org/officeDocument/2006/relationships/hyperlink" Id="rId58" Target="https://doi.org/10.1371/journal.pone.0323148" TargetMode="External" /><Relationship Type="http://schemas.openxmlformats.org/officeDocument/2006/relationships/hyperlink" Id="rId97" Target="https://doi.org/10.18637/jss.v025.i03" TargetMode="External" /><Relationship Type="http://schemas.openxmlformats.org/officeDocument/2006/relationships/hyperlink" Id="rId206" Target="https://doi.org/10.2307/2802103" TargetMode="External" /><Relationship Type="http://schemas.openxmlformats.org/officeDocument/2006/relationships/hyperlink" Id="rId184" Target="https://doi.org/10.2307/280511" TargetMode="External" /><Relationship Type="http://schemas.openxmlformats.org/officeDocument/2006/relationships/hyperlink" Id="rId116" Target="https://doi.org/10.2307/3034956" TargetMode="External" /><Relationship Type="http://schemas.openxmlformats.org/officeDocument/2006/relationships/hyperlink" Id="rId131" Target="https://doi.org/10.2307/j.ctv24q4z2g.5" TargetMode="External" /><Relationship Type="http://schemas.openxmlformats.org/officeDocument/2006/relationships/hyperlink" Id="rId157" Target="https://doi.org/10.2307/j.ctvdmwwz4.10" TargetMode="External" /><Relationship Type="http://schemas.openxmlformats.org/officeDocument/2006/relationships/hyperlink" Id="rId155" Target="https://doi.org/10.2307/j.ctvdmwwz4.7" TargetMode="External" /><Relationship Type="http://schemas.openxmlformats.org/officeDocument/2006/relationships/hyperlink" Id="rId163" Target="https://doi.org/10.3213/2191-5784-10243" TargetMode="External" /><Relationship Type="http://schemas.openxmlformats.org/officeDocument/2006/relationships/hyperlink" Id="rId89" Target="https://doi.org/10.32614/CRAN.package.vegan" TargetMode="External" /><Relationship Type="http://schemas.openxmlformats.org/officeDocument/2006/relationships/hyperlink" Id="rId93" Target="https://doi.org/10.3828/hgr.2023.12" TargetMode="External" /><Relationship Type="http://schemas.openxmlformats.org/officeDocument/2006/relationships/hyperlink" Id="rId176" Target="https://doi.org/10.4000/palethnologie.4945" TargetMode="External" /><Relationship Type="http://schemas.openxmlformats.org/officeDocument/2006/relationships/hyperlink" Id="rId81" Target="https://doi.org/10.4000/palethnologie.706" TargetMode="External" /><Relationship Type="http://schemas.openxmlformats.org/officeDocument/2006/relationships/hyperlink" Id="rId182" Target="https://doi.org/10.5281/zenodo.15397990" TargetMode="External" /><Relationship Type="http://schemas.openxmlformats.org/officeDocument/2006/relationships/hyperlink" Id="rId108" Target="https://igraph.org" TargetMode="External" /><Relationship Type="http://schemas.openxmlformats.org/officeDocument/2006/relationships/hyperlink" Id="rId106" Target="https://statnet.org" TargetMode="External" /><Relationship Type="http://schemas.openxmlformats.org/officeDocument/2006/relationships/hyperlink" Id="rId165"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2025-06-09T22:10:07Z</dcterms:created>
  <dcterms:modified xsi:type="dcterms:W3CDTF">2025-06-09T22:10:07Z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